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257F" w14:textId="49E970DE" w:rsidR="001A2923" w:rsidRDefault="001A2923" w:rsidP="003C2E1C">
      <w:pPr>
        <w:spacing w:after="120"/>
        <w:jc w:val="both"/>
        <w:rPr>
          <w:rFonts w:ascii="Times" w:hAnsi="Times" w:cs="Arial"/>
          <w:color w:val="000000"/>
          <w:lang w:val="en-CA"/>
        </w:rPr>
      </w:pPr>
      <w:bookmarkStart w:id="0" w:name="_GoBack"/>
      <w:bookmarkEnd w:id="0"/>
      <w:r w:rsidRPr="001A2923">
        <w:rPr>
          <w:rFonts w:ascii="Times" w:hAnsi="Times" w:cs="Arial"/>
          <w:b/>
          <w:color w:val="000000"/>
          <w:lang w:val="en-CA"/>
        </w:rPr>
        <w:t>To</w:t>
      </w:r>
      <w:r>
        <w:rPr>
          <w:rFonts w:ascii="Times" w:hAnsi="Times" w:cs="Arial"/>
          <w:color w:val="000000"/>
          <w:lang w:val="en-CA"/>
        </w:rPr>
        <w:t>:</w:t>
      </w:r>
    </w:p>
    <w:p w14:paraId="616A6675" w14:textId="43A39F34" w:rsidR="001A2923" w:rsidRPr="001A2923" w:rsidRDefault="001A2923" w:rsidP="003C2E1C">
      <w:pPr>
        <w:spacing w:after="120"/>
        <w:jc w:val="both"/>
        <w:rPr>
          <w:rFonts w:ascii="Times" w:hAnsi="Times" w:cs="Arial"/>
          <w:b/>
          <w:color w:val="000000"/>
          <w:lang w:val="en-CA"/>
        </w:rPr>
      </w:pPr>
      <w:r w:rsidRPr="001A2923">
        <w:rPr>
          <w:rFonts w:ascii="Times" w:hAnsi="Times" w:cs="Arial"/>
          <w:b/>
          <w:color w:val="000000"/>
          <w:lang w:val="en-CA"/>
        </w:rPr>
        <w:t>From:</w:t>
      </w:r>
    </w:p>
    <w:p w14:paraId="1B9BD0BD" w14:textId="771F5EBC" w:rsidR="001A2923" w:rsidRDefault="001A2923" w:rsidP="00946A34">
      <w:pPr>
        <w:jc w:val="both"/>
        <w:rPr>
          <w:rFonts w:ascii="Times" w:hAnsi="Times" w:cs="Arial"/>
          <w:color w:val="000000"/>
          <w:lang w:val="en-CA"/>
        </w:rPr>
      </w:pPr>
      <w:r w:rsidRPr="001A2923">
        <w:rPr>
          <w:rFonts w:ascii="Times" w:hAnsi="Times" w:cs="Arial"/>
          <w:b/>
          <w:color w:val="000000"/>
          <w:lang w:val="en-CA"/>
        </w:rPr>
        <w:t>Re:</w:t>
      </w:r>
      <w:r>
        <w:rPr>
          <w:rFonts w:ascii="Times" w:hAnsi="Times" w:cs="Arial"/>
          <w:color w:val="000000"/>
          <w:lang w:val="en-CA"/>
        </w:rPr>
        <w:t xml:space="preserve"> Upcoming U of T Fundraising Drive</w:t>
      </w:r>
    </w:p>
    <w:p w14:paraId="09825221" w14:textId="21BC1ADF" w:rsidR="001A2923" w:rsidRDefault="00946A34" w:rsidP="003C2E1C">
      <w:pPr>
        <w:spacing w:after="120"/>
        <w:jc w:val="both"/>
        <w:rPr>
          <w:rFonts w:ascii="Times" w:hAnsi="Times" w:cs="Arial"/>
          <w:color w:val="000000"/>
          <w:lang w:val="en-CA"/>
        </w:rPr>
      </w:pPr>
      <w:r>
        <w:rPr>
          <w:rFonts w:ascii="Times" w:hAnsi="Times" w:cs="Arial"/>
          <w:color w:val="000000"/>
          <w:lang w:val="en-CA"/>
        </w:rPr>
        <w:t>_______________________________________________________________________</w:t>
      </w:r>
    </w:p>
    <w:p w14:paraId="485F94C2" w14:textId="77777777" w:rsidR="00946A34" w:rsidRDefault="00946A34" w:rsidP="00946A34">
      <w:pPr>
        <w:jc w:val="both"/>
        <w:rPr>
          <w:rFonts w:ascii="Times" w:hAnsi="Times" w:cs="Arial"/>
          <w:color w:val="000000"/>
          <w:lang w:val="en-CA"/>
        </w:rPr>
      </w:pPr>
    </w:p>
    <w:p w14:paraId="51A9C356" w14:textId="6AA72FDC" w:rsidR="005C5A57" w:rsidRPr="0057295B" w:rsidRDefault="00187ADF" w:rsidP="003C2E1C">
      <w:pPr>
        <w:spacing w:after="120"/>
        <w:jc w:val="both"/>
        <w:rPr>
          <w:rFonts w:ascii="Times" w:hAnsi="Times" w:cs="Arial"/>
          <w:color w:val="000000"/>
          <w:lang w:val="en-CA"/>
        </w:rPr>
      </w:pPr>
      <w:r>
        <w:rPr>
          <w:rFonts w:ascii="Times" w:hAnsi="Times" w:cs="Arial"/>
          <w:color w:val="000000"/>
          <w:lang w:val="en-CA"/>
        </w:rPr>
        <w:t>There is reason to believe that</w:t>
      </w:r>
      <w:r w:rsidR="005C5A57">
        <w:rPr>
          <w:rFonts w:ascii="Times" w:hAnsi="Times" w:cs="Arial"/>
          <w:color w:val="000000"/>
          <w:lang w:val="en-CA"/>
        </w:rPr>
        <w:t xml:space="preserve"> </w:t>
      </w:r>
      <w:r>
        <w:rPr>
          <w:rFonts w:ascii="Times" w:hAnsi="Times" w:cs="Arial"/>
          <w:color w:val="000000"/>
          <w:lang w:val="en-CA"/>
        </w:rPr>
        <w:t xml:space="preserve">the University of Toronto Faculty of Law has plans </w:t>
      </w:r>
      <w:r w:rsidR="005C5A57">
        <w:rPr>
          <w:rFonts w:ascii="Times" w:hAnsi="Times" w:cs="Arial"/>
          <w:color w:val="000000"/>
          <w:lang w:val="en-CA"/>
        </w:rPr>
        <w:t xml:space="preserve">to </w:t>
      </w:r>
      <w:r w:rsidR="001A2923">
        <w:rPr>
          <w:rFonts w:ascii="Times" w:hAnsi="Times" w:cs="Arial"/>
          <w:color w:val="000000"/>
          <w:lang w:val="en-CA"/>
        </w:rPr>
        <w:t xml:space="preserve">begin a </w:t>
      </w:r>
      <w:r w:rsidR="005C5A57">
        <w:rPr>
          <w:rFonts w:ascii="Times" w:hAnsi="Times" w:cs="Arial"/>
          <w:color w:val="000000"/>
          <w:lang w:val="en-CA"/>
        </w:rPr>
        <w:t>fundra</w:t>
      </w:r>
      <w:r w:rsidR="001A2923">
        <w:rPr>
          <w:rFonts w:ascii="Times" w:hAnsi="Times" w:cs="Arial"/>
          <w:color w:val="000000"/>
          <w:lang w:val="en-CA"/>
        </w:rPr>
        <w:t>ising drive for student financial aid</w:t>
      </w:r>
      <w:r w:rsidR="005C5A57">
        <w:rPr>
          <w:rFonts w:ascii="Times" w:hAnsi="Times" w:cs="Arial"/>
          <w:color w:val="000000"/>
          <w:lang w:val="en-CA"/>
        </w:rPr>
        <w:t xml:space="preserve">. </w:t>
      </w:r>
      <w:r>
        <w:rPr>
          <w:rFonts w:ascii="Times" w:hAnsi="Times" w:cs="Arial"/>
          <w:color w:val="000000"/>
          <w:lang w:val="en-CA"/>
        </w:rPr>
        <w:t>This</w:t>
      </w:r>
      <w:r w:rsidR="005C5A57">
        <w:rPr>
          <w:rFonts w:ascii="Times" w:hAnsi="Times" w:cs="Arial"/>
          <w:color w:val="000000"/>
          <w:lang w:val="en-CA"/>
        </w:rPr>
        <w:t xml:space="preserve"> ra</w:t>
      </w:r>
      <w:r w:rsidR="0056304B">
        <w:rPr>
          <w:rFonts w:ascii="Times" w:hAnsi="Times" w:cs="Arial"/>
          <w:color w:val="000000"/>
          <w:lang w:val="en-CA"/>
        </w:rPr>
        <w:t>ise</w:t>
      </w:r>
      <w:r>
        <w:rPr>
          <w:rFonts w:ascii="Times" w:hAnsi="Times" w:cs="Arial"/>
          <w:color w:val="000000"/>
          <w:lang w:val="en-CA"/>
        </w:rPr>
        <w:t>s</w:t>
      </w:r>
      <w:r w:rsidR="0056304B">
        <w:rPr>
          <w:rFonts w:ascii="Times" w:hAnsi="Times" w:cs="Arial"/>
          <w:color w:val="000000"/>
          <w:lang w:val="en-CA"/>
        </w:rPr>
        <w:t xml:space="preserve"> some important questions </w:t>
      </w:r>
      <w:r>
        <w:rPr>
          <w:rFonts w:ascii="Times" w:hAnsi="Times" w:cs="Arial"/>
          <w:color w:val="000000"/>
          <w:lang w:val="en-CA"/>
        </w:rPr>
        <w:t xml:space="preserve">that alumni </w:t>
      </w:r>
      <w:r w:rsidR="001A2923">
        <w:rPr>
          <w:rFonts w:ascii="Times" w:hAnsi="Times" w:cs="Arial"/>
          <w:color w:val="000000"/>
          <w:lang w:val="en-CA"/>
        </w:rPr>
        <w:t>will</w:t>
      </w:r>
      <w:r>
        <w:rPr>
          <w:rFonts w:ascii="Times" w:hAnsi="Times" w:cs="Arial"/>
          <w:color w:val="000000"/>
          <w:lang w:val="en-CA"/>
        </w:rPr>
        <w:t xml:space="preserve"> want to consider</w:t>
      </w:r>
      <w:r w:rsidR="005C5A57">
        <w:rPr>
          <w:rFonts w:ascii="Times" w:hAnsi="Times" w:cs="Arial"/>
          <w:color w:val="000000"/>
          <w:lang w:val="en-CA"/>
        </w:rPr>
        <w:t xml:space="preserve">. </w:t>
      </w:r>
    </w:p>
    <w:p w14:paraId="78B78F6F" w14:textId="0DCB25BE" w:rsidR="00587788" w:rsidRPr="0057295B" w:rsidRDefault="007614D8" w:rsidP="003C2E1C">
      <w:pPr>
        <w:spacing w:after="120"/>
        <w:jc w:val="both"/>
        <w:rPr>
          <w:rFonts w:ascii="Times" w:hAnsi="Times" w:cs="Times New Roman"/>
          <w:lang w:val="en-CA"/>
        </w:rPr>
      </w:pPr>
      <w:r w:rsidRPr="0057295B">
        <w:rPr>
          <w:rFonts w:ascii="Times" w:hAnsi="Times" w:cs="Arial"/>
          <w:color w:val="000000"/>
          <w:lang w:val="en-CA"/>
        </w:rPr>
        <w:t xml:space="preserve">It is impossible not to support in principle the cause of improved student financial aid. Indeed, the need for improvement is urgent. </w:t>
      </w:r>
      <w:r w:rsidR="007C34AE">
        <w:rPr>
          <w:rFonts w:ascii="Times" w:hAnsi="Times" w:cs="Arial"/>
          <w:color w:val="000000"/>
          <w:lang w:val="en-CA"/>
        </w:rPr>
        <w:t xml:space="preserve">Many alumni have watched with increasing concern as the cost of tuition has risen to unsupportable levels. </w:t>
      </w:r>
    </w:p>
    <w:p w14:paraId="35068352" w14:textId="15DAB5B7" w:rsidR="00587788" w:rsidRPr="0057295B" w:rsidRDefault="00587788" w:rsidP="003C2E1C">
      <w:pPr>
        <w:spacing w:after="120"/>
        <w:jc w:val="both"/>
        <w:rPr>
          <w:rFonts w:ascii="Times" w:hAnsi="Times" w:cs="Times New Roman"/>
          <w:lang w:val="en-CA"/>
        </w:rPr>
      </w:pPr>
      <w:r w:rsidRPr="0057295B">
        <w:rPr>
          <w:rFonts w:ascii="Times" w:hAnsi="Times" w:cs="Arial"/>
          <w:color w:val="000000"/>
          <w:lang w:val="en-CA"/>
        </w:rPr>
        <w:t xml:space="preserve">A focus on accessibility is sorely needed. The gap between tuition and financial aid has </w:t>
      </w:r>
      <w:r w:rsidR="005C5A57">
        <w:rPr>
          <w:rFonts w:ascii="Times" w:hAnsi="Times" w:cs="Arial"/>
          <w:color w:val="000000"/>
          <w:lang w:val="en-CA"/>
        </w:rPr>
        <w:t>been growing, and will continue to grow unless there is a significant intervention</w:t>
      </w:r>
      <w:r w:rsidRPr="0057295B">
        <w:rPr>
          <w:rFonts w:ascii="Times" w:hAnsi="Times" w:cs="Arial"/>
          <w:color w:val="000000"/>
          <w:lang w:val="en-CA"/>
        </w:rPr>
        <w:t xml:space="preserve">. </w:t>
      </w:r>
      <w:r w:rsidR="00187ADF">
        <w:rPr>
          <w:rFonts w:ascii="Times" w:hAnsi="Times" w:cs="Arial"/>
          <w:color w:val="000000"/>
          <w:lang w:val="en-CA"/>
        </w:rPr>
        <w:t>A</w:t>
      </w:r>
      <w:r w:rsidR="009848F8">
        <w:rPr>
          <w:rFonts w:ascii="Times" w:hAnsi="Times" w:cs="Arial"/>
          <w:color w:val="000000"/>
          <w:lang w:val="en-CA"/>
        </w:rPr>
        <w:t xml:space="preserve"> brief synopsis of the current situation </w:t>
      </w:r>
      <w:r w:rsidR="005C5A57">
        <w:rPr>
          <w:rFonts w:ascii="Times" w:hAnsi="Times" w:cs="Arial"/>
          <w:color w:val="000000"/>
          <w:lang w:val="en-CA"/>
        </w:rPr>
        <w:t>based on</w:t>
      </w:r>
      <w:r w:rsidR="009848F8">
        <w:rPr>
          <w:rFonts w:ascii="Times" w:hAnsi="Times" w:cs="Arial"/>
          <w:color w:val="000000"/>
          <w:lang w:val="en-CA"/>
        </w:rPr>
        <w:t xml:space="preserve"> the information available</w:t>
      </w:r>
      <w:r w:rsidR="001A2923">
        <w:rPr>
          <w:rFonts w:ascii="Times" w:hAnsi="Times" w:cs="Arial"/>
          <w:color w:val="000000"/>
          <w:lang w:val="en-CA"/>
        </w:rPr>
        <w:t xml:space="preserve"> is attached</w:t>
      </w:r>
      <w:r w:rsidR="00946A34">
        <w:rPr>
          <w:rFonts w:ascii="Times" w:hAnsi="Times" w:cs="Arial"/>
          <w:color w:val="000000"/>
          <w:lang w:val="en-CA"/>
        </w:rPr>
        <w:t xml:space="preserve"> to bring alumni up to date on the current situation</w:t>
      </w:r>
      <w:r w:rsidR="0056304B">
        <w:rPr>
          <w:rFonts w:ascii="Times" w:hAnsi="Times" w:cs="Arial"/>
          <w:color w:val="000000"/>
          <w:lang w:val="en-CA"/>
        </w:rPr>
        <w:t xml:space="preserve">. </w:t>
      </w:r>
    </w:p>
    <w:p w14:paraId="55E8AD24" w14:textId="77FA5526" w:rsidR="00ED36CB" w:rsidRPr="0057295B" w:rsidRDefault="00187ADF" w:rsidP="003C2E1C">
      <w:pPr>
        <w:spacing w:after="120"/>
        <w:jc w:val="both"/>
        <w:rPr>
          <w:rFonts w:ascii="Times" w:hAnsi="Times" w:cs="Arial"/>
          <w:color w:val="000000"/>
          <w:lang w:val="en-CA"/>
        </w:rPr>
      </w:pPr>
      <w:r>
        <w:rPr>
          <w:rFonts w:ascii="Times" w:hAnsi="Times" w:cs="Arial"/>
          <w:color w:val="000000"/>
          <w:lang w:val="en-CA"/>
        </w:rPr>
        <w:t>A</w:t>
      </w:r>
      <w:r w:rsidR="00DD2783" w:rsidRPr="0057295B">
        <w:rPr>
          <w:rFonts w:ascii="Times" w:hAnsi="Times" w:cs="Arial"/>
          <w:color w:val="000000"/>
          <w:lang w:val="en-CA"/>
        </w:rPr>
        <w:t xml:space="preserve"> discussion about </w:t>
      </w:r>
      <w:r w:rsidR="00946A34">
        <w:rPr>
          <w:rFonts w:ascii="Times" w:hAnsi="Times" w:cs="Arial"/>
          <w:color w:val="000000"/>
          <w:lang w:val="en-CA"/>
        </w:rPr>
        <w:t>needs and goals is urgent</w:t>
      </w:r>
      <w:r w:rsidR="000F0525">
        <w:rPr>
          <w:rFonts w:ascii="Times" w:hAnsi="Times" w:cs="Arial"/>
          <w:color w:val="000000"/>
          <w:lang w:val="en-CA"/>
        </w:rPr>
        <w:t>, and that</w:t>
      </w:r>
      <w:r w:rsidR="00BF24AB" w:rsidRPr="0057295B">
        <w:rPr>
          <w:rFonts w:ascii="Times" w:hAnsi="Times" w:cs="Arial"/>
          <w:color w:val="000000"/>
          <w:lang w:val="en-CA"/>
        </w:rPr>
        <w:t xml:space="preserve"> requires sound</w:t>
      </w:r>
      <w:r w:rsidR="00F55E8D" w:rsidRPr="0057295B">
        <w:rPr>
          <w:rFonts w:ascii="Times" w:hAnsi="Times" w:cs="Arial"/>
          <w:color w:val="000000"/>
          <w:lang w:val="en-CA"/>
        </w:rPr>
        <w:t xml:space="preserve"> information</w:t>
      </w:r>
      <w:r w:rsidR="00822810" w:rsidRPr="0057295B">
        <w:rPr>
          <w:rFonts w:ascii="Times" w:hAnsi="Times" w:cs="Arial"/>
          <w:color w:val="000000"/>
          <w:lang w:val="en-CA"/>
        </w:rPr>
        <w:t xml:space="preserve"> about the objectives </w:t>
      </w:r>
      <w:r w:rsidR="00DD2783" w:rsidRPr="0057295B">
        <w:rPr>
          <w:rFonts w:ascii="Times" w:hAnsi="Times" w:cs="Arial"/>
          <w:color w:val="000000"/>
          <w:lang w:val="en-CA"/>
        </w:rPr>
        <w:t xml:space="preserve">of </w:t>
      </w:r>
      <w:r w:rsidR="00822810" w:rsidRPr="0057295B">
        <w:rPr>
          <w:rFonts w:ascii="Times" w:hAnsi="Times" w:cs="Arial"/>
          <w:color w:val="000000"/>
          <w:lang w:val="en-CA"/>
        </w:rPr>
        <w:t xml:space="preserve">and prospects for success for this campaign. </w:t>
      </w:r>
      <w:r w:rsidR="00DD2783" w:rsidRPr="0057295B">
        <w:rPr>
          <w:rFonts w:ascii="Times" w:hAnsi="Times" w:cs="Arial"/>
          <w:color w:val="000000"/>
          <w:lang w:val="en-CA"/>
        </w:rPr>
        <w:t>Improving access is a laudable goal, but a reasonably precise plan is called for</w:t>
      </w:r>
      <w:r w:rsidR="00822810" w:rsidRPr="0057295B">
        <w:rPr>
          <w:rFonts w:ascii="Times" w:hAnsi="Times" w:cs="Arial"/>
          <w:color w:val="000000"/>
          <w:lang w:val="en-CA"/>
        </w:rPr>
        <w:t>.</w:t>
      </w:r>
    </w:p>
    <w:p w14:paraId="5A471B70" w14:textId="798AB83E" w:rsidR="00ED36CB" w:rsidRPr="0057295B" w:rsidRDefault="001A2923" w:rsidP="0057295B">
      <w:pPr>
        <w:spacing w:after="120"/>
        <w:rPr>
          <w:rFonts w:ascii="Times" w:hAnsi="Times" w:cs="Arial"/>
          <w:color w:val="000000"/>
          <w:lang w:val="en-CA"/>
        </w:rPr>
      </w:pPr>
      <w:r>
        <w:rPr>
          <w:rFonts w:ascii="Times" w:hAnsi="Times" w:cs="Arial"/>
          <w:color w:val="000000"/>
          <w:lang w:val="en-CA"/>
        </w:rPr>
        <w:t>T</w:t>
      </w:r>
      <w:r w:rsidR="00BF24AB" w:rsidRPr="0057295B">
        <w:rPr>
          <w:rFonts w:ascii="Times" w:hAnsi="Times" w:cs="Arial"/>
          <w:color w:val="000000"/>
          <w:lang w:val="en-CA"/>
        </w:rPr>
        <w:t xml:space="preserve">he following questions </w:t>
      </w:r>
      <w:r>
        <w:rPr>
          <w:rFonts w:ascii="Times" w:hAnsi="Times" w:cs="Arial"/>
          <w:color w:val="000000"/>
          <w:lang w:val="en-CA"/>
        </w:rPr>
        <w:t>are</w:t>
      </w:r>
      <w:r w:rsidR="00BF24AB" w:rsidRPr="0057295B">
        <w:rPr>
          <w:rFonts w:ascii="Times" w:hAnsi="Times" w:cs="Arial"/>
          <w:color w:val="000000"/>
          <w:lang w:val="en-CA"/>
        </w:rPr>
        <w:t xml:space="preserve"> central</w:t>
      </w:r>
      <w:r w:rsidR="00ED36CB" w:rsidRPr="0057295B">
        <w:rPr>
          <w:rFonts w:ascii="Times" w:hAnsi="Times" w:cs="Arial"/>
          <w:color w:val="000000"/>
          <w:lang w:val="en-CA"/>
        </w:rPr>
        <w:t>:</w:t>
      </w:r>
    </w:p>
    <w:p w14:paraId="6291443F" w14:textId="379A5EF4" w:rsidR="005C5A57" w:rsidRDefault="00ED36CB" w:rsidP="0057295B">
      <w:pPr>
        <w:pStyle w:val="ListParagraph"/>
        <w:numPr>
          <w:ilvl w:val="0"/>
          <w:numId w:val="5"/>
        </w:numPr>
        <w:spacing w:after="120"/>
        <w:rPr>
          <w:rFonts w:ascii="Times" w:hAnsi="Times" w:cs="Arial"/>
          <w:color w:val="000000"/>
          <w:lang w:val="en-CA"/>
        </w:rPr>
      </w:pPr>
      <w:r w:rsidRPr="0057295B">
        <w:rPr>
          <w:rFonts w:ascii="Times" w:hAnsi="Times" w:cs="Arial"/>
          <w:color w:val="000000"/>
          <w:lang w:val="en-CA"/>
        </w:rPr>
        <w:t xml:space="preserve">What is the target for the endowment? What </w:t>
      </w:r>
      <w:r w:rsidR="00B852D8">
        <w:rPr>
          <w:rFonts w:ascii="Times" w:hAnsi="Times" w:cs="Arial"/>
          <w:color w:val="000000"/>
          <w:lang w:val="en-CA"/>
        </w:rPr>
        <w:t>target will</w:t>
      </w:r>
      <w:r w:rsidRPr="0057295B">
        <w:rPr>
          <w:rFonts w:ascii="Times" w:hAnsi="Times" w:cs="Arial"/>
          <w:color w:val="000000"/>
          <w:lang w:val="en-CA"/>
        </w:rPr>
        <w:t xml:space="preserve"> ensure that there is enough in the fund to reduce the effective cos</w:t>
      </w:r>
      <w:r w:rsidR="00D73D60" w:rsidRPr="0057295B">
        <w:rPr>
          <w:rFonts w:ascii="Times" w:hAnsi="Times" w:cs="Arial"/>
          <w:color w:val="000000"/>
          <w:lang w:val="en-CA"/>
        </w:rPr>
        <w:t xml:space="preserve">t of tuition for those in need? </w:t>
      </w:r>
    </w:p>
    <w:p w14:paraId="79F404B7" w14:textId="77777777" w:rsidR="00ED36CB" w:rsidRPr="0057295B" w:rsidRDefault="00783629" w:rsidP="0057295B">
      <w:pPr>
        <w:pStyle w:val="ListParagraph"/>
        <w:numPr>
          <w:ilvl w:val="0"/>
          <w:numId w:val="5"/>
        </w:numPr>
        <w:spacing w:after="120"/>
        <w:rPr>
          <w:rFonts w:ascii="Times" w:hAnsi="Times" w:cs="Arial"/>
          <w:color w:val="000000"/>
          <w:lang w:val="en-CA"/>
        </w:rPr>
      </w:pPr>
      <w:r w:rsidRPr="0057295B">
        <w:rPr>
          <w:rFonts w:ascii="Times" w:hAnsi="Times" w:cs="Arial"/>
          <w:color w:val="000000"/>
          <w:lang w:val="en-CA"/>
        </w:rPr>
        <w:t>Is the aim merely to offset future tuition increases for less well-off students, or to make up some of the ground that has been lost as increases have outstripped financial aid resources?</w:t>
      </w:r>
    </w:p>
    <w:p w14:paraId="2165ECE6" w14:textId="77777777" w:rsidR="0056304B" w:rsidRDefault="00477526" w:rsidP="0056304B">
      <w:pPr>
        <w:pStyle w:val="ListParagraph"/>
        <w:numPr>
          <w:ilvl w:val="0"/>
          <w:numId w:val="5"/>
        </w:numPr>
        <w:spacing w:after="120"/>
        <w:rPr>
          <w:rFonts w:ascii="Times" w:hAnsi="Times" w:cs="Arial"/>
          <w:color w:val="000000"/>
          <w:lang w:val="en-CA"/>
        </w:rPr>
      </w:pPr>
      <w:r w:rsidRPr="0057295B">
        <w:rPr>
          <w:rFonts w:ascii="Times" w:hAnsi="Times" w:cs="Arial"/>
          <w:color w:val="000000"/>
          <w:lang w:val="en-CA"/>
        </w:rPr>
        <w:t>Has</w:t>
      </w:r>
      <w:r w:rsidR="00430D51" w:rsidRPr="0057295B">
        <w:rPr>
          <w:rFonts w:ascii="Times" w:hAnsi="Times" w:cs="Arial"/>
          <w:color w:val="000000"/>
          <w:lang w:val="en-CA"/>
        </w:rPr>
        <w:t xml:space="preserve"> the Faculty continue</w:t>
      </w:r>
      <w:r w:rsidRPr="0057295B">
        <w:rPr>
          <w:rFonts w:ascii="Times" w:hAnsi="Times" w:cs="Arial"/>
          <w:color w:val="000000"/>
          <w:lang w:val="en-CA"/>
        </w:rPr>
        <w:t>d</w:t>
      </w:r>
      <w:r w:rsidR="00430D51" w:rsidRPr="0057295B">
        <w:rPr>
          <w:rFonts w:ascii="Times" w:hAnsi="Times" w:cs="Arial"/>
          <w:color w:val="000000"/>
          <w:lang w:val="en-CA"/>
        </w:rPr>
        <w:t xml:space="preserve"> </w:t>
      </w:r>
      <w:r w:rsidR="005C1655" w:rsidRPr="0057295B">
        <w:rPr>
          <w:rFonts w:ascii="Times" w:hAnsi="Times" w:cs="Arial"/>
          <w:color w:val="000000"/>
          <w:lang w:val="en-CA"/>
        </w:rPr>
        <w:t>its initial set-aside policy</w:t>
      </w:r>
      <w:r w:rsidRPr="0057295B">
        <w:rPr>
          <w:rFonts w:ascii="Times" w:hAnsi="Times" w:cs="Arial"/>
          <w:color w:val="000000"/>
          <w:lang w:val="en-CA"/>
        </w:rPr>
        <w:t xml:space="preserve"> of 30%</w:t>
      </w:r>
      <w:r w:rsidR="0056304B">
        <w:rPr>
          <w:rFonts w:ascii="Times" w:hAnsi="Times" w:cs="Arial"/>
          <w:color w:val="000000"/>
          <w:lang w:val="en-CA"/>
        </w:rPr>
        <w:t xml:space="preserve"> of tuition fee increases</w:t>
      </w:r>
      <w:r w:rsidR="005C1655" w:rsidRPr="0057295B">
        <w:rPr>
          <w:rFonts w:ascii="Times" w:hAnsi="Times" w:cs="Arial"/>
          <w:color w:val="000000"/>
          <w:lang w:val="en-CA"/>
        </w:rPr>
        <w:t xml:space="preserve">, or not? </w:t>
      </w:r>
      <w:r w:rsidR="0056304B">
        <w:rPr>
          <w:rFonts w:ascii="Times" w:hAnsi="Times" w:cs="Arial"/>
          <w:color w:val="000000"/>
          <w:lang w:val="en-CA"/>
        </w:rPr>
        <w:t xml:space="preserve">If it is no longer 30%, how much is it? </w:t>
      </w:r>
      <w:r w:rsidR="00000E83">
        <w:rPr>
          <w:rFonts w:ascii="Times" w:hAnsi="Times" w:cs="Arial"/>
          <w:color w:val="000000"/>
          <w:lang w:val="en-CA"/>
        </w:rPr>
        <w:t xml:space="preserve">Is 30% enough? </w:t>
      </w:r>
      <w:r w:rsidR="00D73D60" w:rsidRPr="0057295B">
        <w:rPr>
          <w:rFonts w:ascii="Times" w:hAnsi="Times" w:cs="Arial"/>
          <w:color w:val="000000"/>
          <w:lang w:val="en-CA"/>
        </w:rPr>
        <w:t xml:space="preserve">What, if anything, does the provincial government or the central university contribute to the financial aid fund? </w:t>
      </w:r>
    </w:p>
    <w:p w14:paraId="5E3DF650" w14:textId="77777777" w:rsidR="00D73D60" w:rsidRPr="0057295B" w:rsidRDefault="00477526" w:rsidP="0056304B">
      <w:pPr>
        <w:pStyle w:val="ListParagraph"/>
        <w:numPr>
          <w:ilvl w:val="0"/>
          <w:numId w:val="5"/>
        </w:numPr>
        <w:spacing w:after="120"/>
        <w:rPr>
          <w:rFonts w:ascii="Times" w:hAnsi="Times" w:cs="Arial"/>
          <w:color w:val="000000"/>
          <w:lang w:val="en-CA"/>
        </w:rPr>
      </w:pPr>
      <w:r w:rsidRPr="0057295B">
        <w:rPr>
          <w:rFonts w:ascii="Times" w:hAnsi="Times" w:cs="Arial"/>
          <w:color w:val="000000"/>
          <w:lang w:val="en-CA"/>
        </w:rPr>
        <w:t>What assurance is there that fundraising for financial aid won’t be offset by the withdrawal of other sources of funding currently committed?</w:t>
      </w:r>
      <w:r w:rsidR="00673DA5" w:rsidRPr="0057295B">
        <w:rPr>
          <w:rFonts w:ascii="Times" w:hAnsi="Times" w:cs="Arial"/>
          <w:color w:val="000000"/>
          <w:lang w:val="en-CA"/>
        </w:rPr>
        <w:t xml:space="preserve"> Alumni will be reluctant to donate if </w:t>
      </w:r>
      <w:r w:rsidR="00566607" w:rsidRPr="0057295B">
        <w:rPr>
          <w:rFonts w:ascii="Times" w:hAnsi="Times" w:cs="Arial"/>
          <w:color w:val="000000"/>
          <w:lang w:val="en-CA"/>
        </w:rPr>
        <w:t>an increase in the size of the endowment is treated as a reason by the Faculty, the University, or the province to contribute less to financial aid</w:t>
      </w:r>
      <w:r w:rsidR="005C5A57">
        <w:rPr>
          <w:rFonts w:ascii="Times" w:hAnsi="Times" w:cs="Arial"/>
          <w:color w:val="000000"/>
          <w:lang w:val="en-CA"/>
        </w:rPr>
        <w:t xml:space="preserve"> or to freeze their contributions</w:t>
      </w:r>
      <w:r w:rsidR="00566607" w:rsidRPr="0057295B">
        <w:rPr>
          <w:rFonts w:ascii="Times" w:hAnsi="Times" w:cs="Arial"/>
          <w:color w:val="000000"/>
          <w:lang w:val="en-CA"/>
        </w:rPr>
        <w:t>.</w:t>
      </w:r>
    </w:p>
    <w:p w14:paraId="0A1F5533" w14:textId="0ABDF56C" w:rsidR="00E8407F" w:rsidRPr="00E508FC" w:rsidRDefault="0056304B" w:rsidP="0056304B">
      <w:pPr>
        <w:pStyle w:val="ListParagraph"/>
        <w:numPr>
          <w:ilvl w:val="0"/>
          <w:numId w:val="5"/>
        </w:numPr>
        <w:spacing w:after="120"/>
        <w:rPr>
          <w:rFonts w:ascii="Times" w:hAnsi="Times" w:cs="Arial"/>
          <w:color w:val="000000"/>
          <w:lang w:val="en-CA"/>
        </w:rPr>
      </w:pPr>
      <w:r>
        <w:rPr>
          <w:rFonts w:ascii="Times" w:hAnsi="Times" w:cs="Arial"/>
          <w:color w:val="000000"/>
          <w:lang w:val="en-CA"/>
        </w:rPr>
        <w:t xml:space="preserve">Will the faculty gathering accurate information about the family income of its students? Without this information, how can we know </w:t>
      </w:r>
      <w:r w:rsidR="00CE1B7D" w:rsidRPr="00E508FC">
        <w:rPr>
          <w:rFonts w:ascii="Times" w:hAnsi="Times" w:cs="Arial"/>
          <w:color w:val="000000"/>
          <w:lang w:val="en-CA"/>
        </w:rPr>
        <w:t xml:space="preserve">whether tuition levels are affecting </w:t>
      </w:r>
      <w:r w:rsidRPr="00E508FC">
        <w:rPr>
          <w:rFonts w:ascii="Times" w:hAnsi="Times" w:cs="Arial"/>
          <w:color w:val="000000"/>
          <w:lang w:val="en-CA"/>
        </w:rPr>
        <w:t>access, and</w:t>
      </w:r>
      <w:r w:rsidR="00566607" w:rsidRPr="00E508FC">
        <w:rPr>
          <w:rFonts w:ascii="Times" w:hAnsi="Times" w:cs="Arial"/>
          <w:color w:val="000000"/>
          <w:lang w:val="en-CA"/>
        </w:rPr>
        <w:t xml:space="preserve"> whether </w:t>
      </w:r>
      <w:r>
        <w:rPr>
          <w:rFonts w:ascii="Times" w:hAnsi="Times" w:cs="Arial"/>
          <w:color w:val="000000"/>
          <w:lang w:val="en-CA"/>
        </w:rPr>
        <w:t>future financial aid increases are</w:t>
      </w:r>
      <w:r w:rsidR="00566607" w:rsidRPr="00E508FC">
        <w:rPr>
          <w:rFonts w:ascii="Times" w:hAnsi="Times" w:cs="Arial"/>
          <w:color w:val="000000"/>
          <w:lang w:val="en-CA"/>
        </w:rPr>
        <w:t xml:space="preserve"> increasing access?</w:t>
      </w:r>
    </w:p>
    <w:p w14:paraId="6F143BD9" w14:textId="77777777" w:rsidR="00CE1B7D" w:rsidRPr="0057295B" w:rsidRDefault="00566607" w:rsidP="0057295B">
      <w:pPr>
        <w:pStyle w:val="ListParagraph"/>
        <w:numPr>
          <w:ilvl w:val="0"/>
          <w:numId w:val="5"/>
        </w:numPr>
        <w:spacing w:after="120"/>
        <w:rPr>
          <w:rFonts w:ascii="Times" w:hAnsi="Times" w:cs="Arial"/>
          <w:color w:val="000000"/>
          <w:lang w:val="en-CA"/>
        </w:rPr>
      </w:pPr>
      <w:r w:rsidRPr="0057295B">
        <w:rPr>
          <w:rFonts w:ascii="Times" w:hAnsi="Times" w:cs="Arial"/>
          <w:color w:val="000000"/>
          <w:lang w:val="en-CA"/>
        </w:rPr>
        <w:t xml:space="preserve">Is data </w:t>
      </w:r>
      <w:r w:rsidR="00CE1B7D" w:rsidRPr="0057295B">
        <w:rPr>
          <w:rFonts w:ascii="Times" w:hAnsi="Times" w:cs="Arial"/>
          <w:color w:val="000000"/>
          <w:lang w:val="en-CA"/>
        </w:rPr>
        <w:t>about stud</w:t>
      </w:r>
      <w:r w:rsidRPr="0057295B">
        <w:rPr>
          <w:rFonts w:ascii="Times" w:hAnsi="Times" w:cs="Arial"/>
          <w:color w:val="000000"/>
          <w:lang w:val="en-CA"/>
        </w:rPr>
        <w:t>ent debt levels upon graduation</w:t>
      </w:r>
      <w:r w:rsidR="005C1655" w:rsidRPr="0057295B">
        <w:rPr>
          <w:rFonts w:ascii="Times" w:hAnsi="Times" w:cs="Arial"/>
          <w:color w:val="000000"/>
          <w:lang w:val="en-CA"/>
        </w:rPr>
        <w:t xml:space="preserve"> being gathered?</w:t>
      </w:r>
    </w:p>
    <w:p w14:paraId="7648E81E" w14:textId="77777777" w:rsidR="00822810" w:rsidRPr="0057295B" w:rsidRDefault="00CE1B7D" w:rsidP="0057295B">
      <w:pPr>
        <w:pStyle w:val="ListParagraph"/>
        <w:numPr>
          <w:ilvl w:val="0"/>
          <w:numId w:val="5"/>
        </w:numPr>
        <w:spacing w:after="120"/>
        <w:rPr>
          <w:rFonts w:ascii="Times" w:hAnsi="Times" w:cs="Arial"/>
          <w:color w:val="000000"/>
          <w:lang w:val="en-CA"/>
        </w:rPr>
      </w:pPr>
      <w:r w:rsidRPr="0057295B">
        <w:rPr>
          <w:rFonts w:ascii="Times" w:hAnsi="Times" w:cs="Arial"/>
          <w:color w:val="000000"/>
          <w:lang w:val="en-CA"/>
        </w:rPr>
        <w:t>What do we know about student career choices, and whether debt levels are influencing the decisions students make?</w:t>
      </w:r>
      <w:r w:rsidR="005C1655" w:rsidRPr="0057295B">
        <w:rPr>
          <w:rFonts w:ascii="Times" w:hAnsi="Times" w:cs="Arial"/>
          <w:color w:val="000000"/>
          <w:lang w:val="en-CA"/>
        </w:rPr>
        <w:t xml:space="preserve"> Is this data being gathered?</w:t>
      </w:r>
    </w:p>
    <w:p w14:paraId="6DA84403" w14:textId="296B83C9" w:rsidR="00BB5BAA" w:rsidRDefault="00822810" w:rsidP="003C2E1C">
      <w:pPr>
        <w:spacing w:after="120"/>
        <w:jc w:val="both"/>
        <w:rPr>
          <w:rFonts w:ascii="Times" w:hAnsi="Times" w:cs="Arial"/>
          <w:color w:val="000000"/>
          <w:lang w:val="en-CA"/>
        </w:rPr>
      </w:pPr>
      <w:r w:rsidRPr="0057295B">
        <w:rPr>
          <w:rFonts w:ascii="Times" w:hAnsi="Times" w:cs="Arial"/>
          <w:color w:val="000000"/>
          <w:lang w:val="en-CA"/>
        </w:rPr>
        <w:t>A</w:t>
      </w:r>
      <w:r w:rsidR="00587788" w:rsidRPr="0057295B">
        <w:rPr>
          <w:rFonts w:ascii="Times" w:hAnsi="Times" w:cs="Arial"/>
          <w:color w:val="000000"/>
          <w:lang w:val="en-CA"/>
        </w:rPr>
        <w:t xml:space="preserve"> successful </w:t>
      </w:r>
      <w:r w:rsidR="00BF24AB" w:rsidRPr="0057295B">
        <w:rPr>
          <w:rFonts w:ascii="Times" w:hAnsi="Times" w:cs="Arial"/>
          <w:color w:val="000000"/>
          <w:lang w:val="en-CA"/>
        </w:rPr>
        <w:t>plan</w:t>
      </w:r>
      <w:r w:rsidR="00587788" w:rsidRPr="0057295B">
        <w:rPr>
          <w:rFonts w:ascii="Times" w:hAnsi="Times" w:cs="Arial"/>
          <w:color w:val="000000"/>
          <w:lang w:val="en-CA"/>
        </w:rPr>
        <w:t xml:space="preserve"> requires </w:t>
      </w:r>
      <w:r w:rsidR="00673DA5" w:rsidRPr="0057295B">
        <w:rPr>
          <w:rFonts w:ascii="Times" w:hAnsi="Times" w:cs="Arial"/>
          <w:color w:val="000000"/>
          <w:lang w:val="en-CA"/>
        </w:rPr>
        <w:t>transparency and accountability</w:t>
      </w:r>
      <w:r w:rsidR="00587788" w:rsidRPr="0057295B">
        <w:rPr>
          <w:rFonts w:ascii="Times" w:hAnsi="Times" w:cs="Arial"/>
          <w:color w:val="000000"/>
          <w:lang w:val="en-CA"/>
        </w:rPr>
        <w:t xml:space="preserve">. Donors </w:t>
      </w:r>
      <w:r w:rsidR="00566607" w:rsidRPr="0057295B">
        <w:rPr>
          <w:rFonts w:ascii="Times" w:hAnsi="Times" w:cs="Arial"/>
          <w:color w:val="000000"/>
          <w:lang w:val="en-CA"/>
        </w:rPr>
        <w:t xml:space="preserve">will </w:t>
      </w:r>
      <w:r w:rsidR="00587788" w:rsidRPr="0057295B">
        <w:rPr>
          <w:rFonts w:ascii="Times" w:hAnsi="Times" w:cs="Arial"/>
          <w:color w:val="000000"/>
          <w:lang w:val="en-CA"/>
        </w:rPr>
        <w:t>need a clear picture of the Faculty’s objectives and targets for the fundraising campaign</w:t>
      </w:r>
      <w:r w:rsidR="00566607" w:rsidRPr="0057295B">
        <w:rPr>
          <w:rFonts w:ascii="Times" w:hAnsi="Times" w:cs="Arial"/>
          <w:color w:val="000000"/>
          <w:lang w:val="en-CA"/>
        </w:rPr>
        <w:t>,</w:t>
      </w:r>
      <w:r w:rsidR="00587788" w:rsidRPr="0057295B">
        <w:rPr>
          <w:rFonts w:ascii="Times" w:hAnsi="Times" w:cs="Arial"/>
          <w:color w:val="000000"/>
          <w:lang w:val="en-CA"/>
        </w:rPr>
        <w:t xml:space="preserve"> and regular reports on progress. </w:t>
      </w:r>
    </w:p>
    <w:p w14:paraId="29EDDD39" w14:textId="17DA163F" w:rsidR="004229A7" w:rsidRPr="00376A90" w:rsidRDefault="004229A7" w:rsidP="004229A7">
      <w:pPr>
        <w:spacing w:after="120"/>
        <w:rPr>
          <w:rFonts w:ascii="Times" w:hAnsi="Times"/>
          <w:b/>
          <w:sz w:val="28"/>
          <w:szCs w:val="28"/>
        </w:rPr>
      </w:pPr>
      <w:r w:rsidRPr="00376A90">
        <w:rPr>
          <w:rFonts w:ascii="Times" w:hAnsi="Times"/>
          <w:b/>
          <w:sz w:val="28"/>
          <w:szCs w:val="28"/>
        </w:rPr>
        <w:lastRenderedPageBreak/>
        <w:t>Key Facts and Figures:</w:t>
      </w:r>
      <w:r w:rsidR="00946A34">
        <w:rPr>
          <w:rFonts w:ascii="Times" w:hAnsi="Times"/>
          <w:b/>
          <w:sz w:val="28"/>
          <w:szCs w:val="28"/>
        </w:rPr>
        <w:t xml:space="preserve"> U of T Law</w:t>
      </w:r>
    </w:p>
    <w:p w14:paraId="254C97AB" w14:textId="77777777" w:rsidR="004229A7" w:rsidRPr="00376A90" w:rsidRDefault="004229A7" w:rsidP="004229A7">
      <w:pPr>
        <w:spacing w:after="120"/>
        <w:rPr>
          <w:rFonts w:ascii="Times" w:hAnsi="Times"/>
          <w:b/>
        </w:rPr>
      </w:pPr>
      <w:r w:rsidRPr="00376A90">
        <w:rPr>
          <w:rFonts w:ascii="Times" w:hAnsi="Times"/>
          <w:b/>
        </w:rPr>
        <w:t>Tuition:</w:t>
      </w:r>
    </w:p>
    <w:p w14:paraId="06634B4C" w14:textId="77777777" w:rsidR="004229A7" w:rsidRPr="00376A90" w:rsidRDefault="004229A7" w:rsidP="004229A7">
      <w:pPr>
        <w:spacing w:after="120"/>
        <w:rPr>
          <w:rFonts w:ascii="Times" w:hAnsi="Times"/>
        </w:rPr>
      </w:pPr>
      <w:r w:rsidRPr="00376A90">
        <w:rPr>
          <w:rFonts w:ascii="Times" w:hAnsi="Times"/>
        </w:rPr>
        <w:t xml:space="preserve">In 1997-98 tuition was </w:t>
      </w:r>
      <w:r w:rsidRPr="00376A90">
        <w:rPr>
          <w:rFonts w:ascii="Times" w:hAnsi="Times"/>
          <w:b/>
        </w:rPr>
        <w:t>$3808</w:t>
      </w:r>
      <w:r w:rsidRPr="00376A90">
        <w:rPr>
          <w:rFonts w:ascii="Times" w:hAnsi="Times"/>
        </w:rPr>
        <w:t xml:space="preserve">. </w:t>
      </w:r>
    </w:p>
    <w:p w14:paraId="2A4C63B9" w14:textId="77777777" w:rsidR="004229A7" w:rsidRPr="00376A90" w:rsidRDefault="004229A7" w:rsidP="004229A7">
      <w:pPr>
        <w:spacing w:after="120"/>
        <w:rPr>
          <w:rFonts w:ascii="Times" w:hAnsi="Times"/>
        </w:rPr>
      </w:pPr>
      <w:r w:rsidRPr="00376A90">
        <w:rPr>
          <w:rFonts w:ascii="Times" w:hAnsi="Times"/>
        </w:rPr>
        <w:t xml:space="preserve">It rose by $2000 per year until 2003-04 to reach </w:t>
      </w:r>
      <w:r w:rsidRPr="00376A90">
        <w:rPr>
          <w:rFonts w:ascii="Times" w:hAnsi="Times"/>
          <w:b/>
        </w:rPr>
        <w:t>$16,000.</w:t>
      </w:r>
    </w:p>
    <w:p w14:paraId="4F9A8420" w14:textId="77777777" w:rsidR="004229A7" w:rsidRPr="003E281C" w:rsidRDefault="004229A7" w:rsidP="004229A7">
      <w:pPr>
        <w:spacing w:after="120"/>
        <w:jc w:val="both"/>
        <w:rPr>
          <w:rFonts w:ascii="Times" w:hAnsi="Times"/>
          <w:spacing w:val="-1"/>
        </w:rPr>
      </w:pPr>
      <w:r w:rsidRPr="003E281C">
        <w:rPr>
          <w:rFonts w:ascii="Times" w:hAnsi="Times"/>
          <w:spacing w:val="-1"/>
        </w:rPr>
        <w:t xml:space="preserve">The province then froze tuition for 2 years. In 2005-06 it was capped at 8% until 2013-14, and 5% thereafter. Since 2005-06, tuition has risen by the maximum allowed every year. </w:t>
      </w:r>
    </w:p>
    <w:p w14:paraId="75CBAA3F" w14:textId="77777777" w:rsidR="004229A7" w:rsidRPr="00376A90" w:rsidRDefault="004229A7" w:rsidP="004229A7">
      <w:pPr>
        <w:spacing w:after="120"/>
        <w:jc w:val="both"/>
        <w:rPr>
          <w:rFonts w:ascii="Times" w:hAnsi="Times"/>
        </w:rPr>
      </w:pPr>
      <w:r w:rsidRPr="00376A90">
        <w:rPr>
          <w:rFonts w:ascii="Times" w:hAnsi="Times"/>
        </w:rPr>
        <w:t xml:space="preserve">In 2015-16 tuition is </w:t>
      </w:r>
      <w:r w:rsidRPr="00376A90">
        <w:rPr>
          <w:rFonts w:ascii="Times" w:hAnsi="Times"/>
          <w:b/>
        </w:rPr>
        <w:t>$33,105</w:t>
      </w:r>
      <w:r w:rsidRPr="00376A90">
        <w:rPr>
          <w:rFonts w:ascii="Times" w:hAnsi="Times"/>
        </w:rPr>
        <w:t xml:space="preserve">, almost 35% higher than the next highest Ontario school, </w:t>
      </w:r>
      <w:proofErr w:type="spellStart"/>
      <w:r w:rsidRPr="00376A90">
        <w:rPr>
          <w:rFonts w:ascii="Times" w:hAnsi="Times"/>
        </w:rPr>
        <w:t>Osgoode</w:t>
      </w:r>
      <w:proofErr w:type="spellEnd"/>
      <w:r w:rsidRPr="00376A90">
        <w:rPr>
          <w:rFonts w:ascii="Times" w:hAnsi="Times"/>
        </w:rPr>
        <w:t>, at $24,745.</w:t>
      </w:r>
    </w:p>
    <w:p w14:paraId="214F1EEF" w14:textId="77777777" w:rsidR="004229A7" w:rsidRPr="00376A90" w:rsidRDefault="004229A7" w:rsidP="004229A7">
      <w:pPr>
        <w:spacing w:after="120"/>
        <w:jc w:val="both"/>
        <w:rPr>
          <w:rFonts w:ascii="Times" w:hAnsi="Times"/>
        </w:rPr>
      </w:pPr>
      <w:r w:rsidRPr="00376A90">
        <w:rPr>
          <w:rFonts w:ascii="Times" w:hAnsi="Times"/>
        </w:rPr>
        <w:t>At this rate, by 2018-19, the 20</w:t>
      </w:r>
      <w:r w:rsidRPr="00376A90">
        <w:rPr>
          <w:rFonts w:ascii="Times" w:hAnsi="Times"/>
          <w:vertAlign w:val="superscript"/>
        </w:rPr>
        <w:t>th</w:t>
      </w:r>
      <w:r w:rsidRPr="00376A90">
        <w:rPr>
          <w:rFonts w:ascii="Times" w:hAnsi="Times"/>
        </w:rPr>
        <w:t xml:space="preserve"> anniversary of the start of this process, fees will have risen by 1000%.</w:t>
      </w:r>
    </w:p>
    <w:p w14:paraId="73628DF7" w14:textId="77777777" w:rsidR="004229A7" w:rsidRPr="00376A90" w:rsidRDefault="004229A7" w:rsidP="004229A7">
      <w:pPr>
        <w:spacing w:before="240" w:after="120"/>
        <w:rPr>
          <w:rFonts w:ascii="Times" w:hAnsi="Times"/>
          <w:b/>
        </w:rPr>
      </w:pPr>
      <w:r w:rsidRPr="00376A90">
        <w:rPr>
          <w:rFonts w:ascii="Times" w:hAnsi="Times"/>
          <w:b/>
        </w:rPr>
        <w:t>Financial Aid:</w:t>
      </w:r>
    </w:p>
    <w:p w14:paraId="26ED2016" w14:textId="77777777" w:rsidR="004229A7" w:rsidRPr="00376A90" w:rsidRDefault="004229A7" w:rsidP="004229A7">
      <w:pPr>
        <w:spacing w:after="120"/>
        <w:rPr>
          <w:rFonts w:ascii="Times" w:hAnsi="Times"/>
          <w:i/>
        </w:rPr>
      </w:pPr>
      <w:r w:rsidRPr="00376A90">
        <w:rPr>
          <w:rFonts w:ascii="Times" w:hAnsi="Times"/>
          <w:i/>
        </w:rPr>
        <w:t>Endowment:</w:t>
      </w:r>
    </w:p>
    <w:p w14:paraId="71F4C06F" w14:textId="77777777" w:rsidR="004229A7" w:rsidRPr="00376A90" w:rsidRDefault="004229A7" w:rsidP="004229A7">
      <w:pPr>
        <w:spacing w:after="120"/>
        <w:jc w:val="both"/>
        <w:rPr>
          <w:rFonts w:ascii="Times" w:hAnsi="Times"/>
        </w:rPr>
      </w:pPr>
      <w:r w:rsidRPr="00376A90">
        <w:rPr>
          <w:rFonts w:ascii="Times" w:hAnsi="Times"/>
        </w:rPr>
        <w:t xml:space="preserve">In newspaper op </w:t>
      </w:r>
      <w:proofErr w:type="spellStart"/>
      <w:proofErr w:type="gramStart"/>
      <w:r w:rsidRPr="00376A90">
        <w:rPr>
          <w:rFonts w:ascii="Times" w:hAnsi="Times"/>
        </w:rPr>
        <w:t>eds</w:t>
      </w:r>
      <w:proofErr w:type="spellEnd"/>
      <w:proofErr w:type="gramEnd"/>
      <w:r w:rsidRPr="00376A90">
        <w:rPr>
          <w:rFonts w:ascii="Times" w:hAnsi="Times"/>
        </w:rPr>
        <w:t xml:space="preserve"> in 2001 and 2002, then Dean Ron Daniels claimed that from 1995 to 2001 the Financial Aid endowment increased from $500,000 to $18,000,000. In 2016, it stands at $24,000,000. </w:t>
      </w:r>
    </w:p>
    <w:p w14:paraId="5587575C" w14:textId="77777777" w:rsidR="004229A7" w:rsidRPr="00376A90" w:rsidRDefault="004229A7" w:rsidP="004229A7">
      <w:pPr>
        <w:spacing w:after="120"/>
        <w:jc w:val="both"/>
        <w:rPr>
          <w:rFonts w:ascii="Times" w:hAnsi="Times"/>
        </w:rPr>
      </w:pPr>
      <w:r>
        <w:rPr>
          <w:rFonts w:ascii="Times" w:hAnsi="Times"/>
        </w:rPr>
        <w:t>This initial</w:t>
      </w:r>
      <w:r w:rsidRPr="00376A90">
        <w:rPr>
          <w:rFonts w:ascii="Times" w:hAnsi="Times"/>
        </w:rPr>
        <w:t xml:space="preserve"> endowment is impressive, as were its effects. In 2000-01, 35 students attend</w:t>
      </w:r>
      <w:r>
        <w:rPr>
          <w:rFonts w:ascii="Times" w:hAnsi="Times"/>
        </w:rPr>
        <w:t>ed</w:t>
      </w:r>
      <w:r w:rsidRPr="00376A90">
        <w:rPr>
          <w:rFonts w:ascii="Times" w:hAnsi="Times"/>
        </w:rPr>
        <w:t xml:space="preserve"> U of T tuition free, and one-third of students </w:t>
      </w:r>
      <w:r>
        <w:rPr>
          <w:rFonts w:ascii="Times" w:hAnsi="Times"/>
        </w:rPr>
        <w:t>received</w:t>
      </w:r>
      <w:r w:rsidRPr="00376A90">
        <w:rPr>
          <w:rFonts w:ascii="Times" w:hAnsi="Times"/>
        </w:rPr>
        <w:t xml:space="preserve"> financial aid.</w:t>
      </w:r>
    </w:p>
    <w:p w14:paraId="442F5A22" w14:textId="77777777" w:rsidR="004229A7" w:rsidRPr="00376A90" w:rsidRDefault="004229A7" w:rsidP="004229A7">
      <w:pPr>
        <w:spacing w:after="120"/>
        <w:jc w:val="both"/>
        <w:rPr>
          <w:rFonts w:ascii="Times" w:hAnsi="Times"/>
        </w:rPr>
      </w:pPr>
      <w:r w:rsidRPr="00376A90">
        <w:rPr>
          <w:rFonts w:ascii="Times" w:hAnsi="Times"/>
        </w:rPr>
        <w:t xml:space="preserve">However, the endowment has grown by only 33% in the last 15 years, </w:t>
      </w:r>
      <w:r>
        <w:rPr>
          <w:rFonts w:ascii="Times" w:hAnsi="Times"/>
        </w:rPr>
        <w:t xml:space="preserve">while </w:t>
      </w:r>
      <w:r w:rsidRPr="00376A90">
        <w:rPr>
          <w:rFonts w:ascii="Times" w:hAnsi="Times"/>
        </w:rPr>
        <w:t xml:space="preserve">tuition more than tripled. As the cost of tuition accelerated, the value of the aid endowment stagnated. </w:t>
      </w:r>
    </w:p>
    <w:p w14:paraId="67A1B1E6" w14:textId="77777777" w:rsidR="004229A7" w:rsidRPr="00376A90" w:rsidRDefault="004229A7" w:rsidP="004229A7">
      <w:pPr>
        <w:spacing w:after="120"/>
        <w:rPr>
          <w:rFonts w:ascii="Times" w:hAnsi="Times"/>
        </w:rPr>
      </w:pPr>
      <w:r w:rsidRPr="00376A90">
        <w:rPr>
          <w:rFonts w:ascii="Times" w:hAnsi="Times"/>
        </w:rPr>
        <w:t xml:space="preserve">The following graph illustrates how tuition is pulling away from the aid </w:t>
      </w:r>
      <w:r>
        <w:rPr>
          <w:rFonts w:ascii="Times" w:hAnsi="Times"/>
        </w:rPr>
        <w:t>available</w:t>
      </w:r>
      <w:r w:rsidRPr="00376A90">
        <w:rPr>
          <w:rFonts w:ascii="Times" w:hAnsi="Times"/>
        </w:rPr>
        <w:t>:</w:t>
      </w:r>
    </w:p>
    <w:p w14:paraId="4132C5CE" w14:textId="77777777" w:rsidR="004229A7" w:rsidRPr="00376A90" w:rsidRDefault="004229A7" w:rsidP="004229A7">
      <w:pPr>
        <w:spacing w:after="120"/>
        <w:rPr>
          <w:rFonts w:ascii="Times" w:hAnsi="Times"/>
        </w:rPr>
      </w:pPr>
      <w:r w:rsidRPr="00376A90">
        <w:rPr>
          <w:rFonts w:ascii="Times" w:hAnsi="Times"/>
          <w:noProof/>
          <w:lang w:val="en-CA" w:eastAsia="en-CA"/>
        </w:rPr>
        <w:drawing>
          <wp:inline distT="0" distB="0" distL="0" distR="0" wp14:anchorId="4C8EA1E8" wp14:editId="16E60E63">
            <wp:extent cx="5486400" cy="2114550"/>
            <wp:effectExtent l="0" t="0" r="254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DB5656" w14:textId="77777777" w:rsidR="004229A7" w:rsidRPr="00376A90" w:rsidRDefault="004229A7" w:rsidP="004229A7">
      <w:pPr>
        <w:spacing w:after="120"/>
        <w:jc w:val="both"/>
        <w:rPr>
          <w:rFonts w:ascii="Times" w:hAnsi="Times"/>
        </w:rPr>
      </w:pPr>
      <w:r w:rsidRPr="00376A90">
        <w:rPr>
          <w:rFonts w:ascii="Times" w:hAnsi="Times"/>
        </w:rPr>
        <w:t xml:space="preserve">The results: </w:t>
      </w:r>
      <w:r>
        <w:rPr>
          <w:rFonts w:ascii="Times" w:hAnsi="Times"/>
        </w:rPr>
        <w:t>as many as 40</w:t>
      </w:r>
      <w:r w:rsidRPr="00376A90">
        <w:rPr>
          <w:rFonts w:ascii="Times" w:hAnsi="Times"/>
        </w:rPr>
        <w:t xml:space="preserve"> full tuition bursaries </w:t>
      </w:r>
      <w:r>
        <w:rPr>
          <w:rFonts w:ascii="Times" w:hAnsi="Times"/>
        </w:rPr>
        <w:t>were being awarded by</w:t>
      </w:r>
      <w:r w:rsidRPr="00376A90">
        <w:rPr>
          <w:rFonts w:ascii="Times" w:hAnsi="Times"/>
        </w:rPr>
        <w:t xml:space="preserve"> 2003-04, but by 2010-11, that number was </w:t>
      </w:r>
      <w:r>
        <w:rPr>
          <w:rFonts w:ascii="Times" w:hAnsi="Times"/>
        </w:rPr>
        <w:t>down</w:t>
      </w:r>
      <w:r w:rsidRPr="00376A90">
        <w:rPr>
          <w:rFonts w:ascii="Times" w:hAnsi="Times"/>
        </w:rPr>
        <w:t xml:space="preserve"> to </w:t>
      </w:r>
      <w:r w:rsidRPr="00376A90">
        <w:rPr>
          <w:rFonts w:ascii="Times" w:hAnsi="Times"/>
          <w:b/>
        </w:rPr>
        <w:t>0</w:t>
      </w:r>
      <w:r w:rsidRPr="00376A90">
        <w:rPr>
          <w:rFonts w:ascii="Times" w:hAnsi="Times"/>
        </w:rPr>
        <w:t xml:space="preserve">. Today half the student body </w:t>
      </w:r>
      <w:r>
        <w:rPr>
          <w:rFonts w:ascii="Times" w:hAnsi="Times"/>
        </w:rPr>
        <w:t>receives</w:t>
      </w:r>
      <w:r w:rsidRPr="00376A90">
        <w:rPr>
          <w:rFonts w:ascii="Times" w:hAnsi="Times"/>
        </w:rPr>
        <w:t xml:space="preserve"> financial aid</w:t>
      </w:r>
      <w:r>
        <w:rPr>
          <w:rFonts w:ascii="Times" w:hAnsi="Times"/>
        </w:rPr>
        <w:t>;</w:t>
      </w:r>
      <w:r w:rsidRPr="00376A90">
        <w:rPr>
          <w:rFonts w:ascii="Times" w:hAnsi="Times"/>
        </w:rPr>
        <w:t xml:space="preserve"> as tuition climbs ever higher, more and more students are in need. It looks as though a slowly growing pie is being divided into an ever smaller number of slices. </w:t>
      </w:r>
    </w:p>
    <w:p w14:paraId="208C0DAA" w14:textId="77777777" w:rsidR="004229A7" w:rsidRPr="00376A90" w:rsidRDefault="004229A7" w:rsidP="004229A7">
      <w:pPr>
        <w:spacing w:after="120"/>
        <w:rPr>
          <w:rFonts w:ascii="Times" w:hAnsi="Times"/>
        </w:rPr>
      </w:pPr>
      <w:r w:rsidRPr="00376A90">
        <w:rPr>
          <w:rFonts w:ascii="Times" w:hAnsi="Times"/>
        </w:rPr>
        <w:t>To illustrate the trend:</w:t>
      </w:r>
    </w:p>
    <w:p w14:paraId="37F5063B" w14:textId="77777777" w:rsidR="004229A7" w:rsidRPr="00376A90" w:rsidRDefault="004229A7" w:rsidP="004229A7">
      <w:pPr>
        <w:spacing w:after="120"/>
        <w:jc w:val="both"/>
        <w:rPr>
          <w:rFonts w:ascii="Times" w:hAnsi="Times"/>
        </w:rPr>
      </w:pPr>
      <w:r w:rsidRPr="00376A90">
        <w:rPr>
          <w:rFonts w:ascii="Times" w:hAnsi="Times"/>
        </w:rPr>
        <w:t>In 2003-04, 40 students received tuition waivers (value: maximum $16000 for 1L, $13230 for 3L). The average bursary for 1L students was nearly half the value of tuition.</w:t>
      </w:r>
    </w:p>
    <w:p w14:paraId="4DFCC63F" w14:textId="77777777" w:rsidR="004229A7" w:rsidRPr="00376A90" w:rsidRDefault="004229A7" w:rsidP="004229A7">
      <w:pPr>
        <w:spacing w:after="120"/>
        <w:jc w:val="both"/>
        <w:rPr>
          <w:rFonts w:ascii="Times" w:hAnsi="Times"/>
        </w:rPr>
      </w:pPr>
      <w:r w:rsidRPr="00376A90">
        <w:rPr>
          <w:rFonts w:ascii="Times" w:hAnsi="Times"/>
        </w:rPr>
        <w:t xml:space="preserve">By 2014-15, when tuition was $30,230, the average bursary was $9209. No student received a bursary worth more than half the value of tuition. The average bursary received by a 1L student was $8640, approximately 30% of the tuition rate. </w:t>
      </w:r>
    </w:p>
    <w:p w14:paraId="754E3D4B" w14:textId="77777777" w:rsidR="004229A7" w:rsidRPr="00376A90" w:rsidRDefault="004229A7" w:rsidP="004229A7">
      <w:pPr>
        <w:spacing w:after="120"/>
        <w:rPr>
          <w:rFonts w:ascii="Times" w:hAnsi="Times"/>
          <w:i/>
        </w:rPr>
      </w:pPr>
      <w:r>
        <w:rPr>
          <w:rFonts w:ascii="Times" w:hAnsi="Times"/>
          <w:i/>
        </w:rPr>
        <w:t>Redistribution</w:t>
      </w:r>
      <w:r w:rsidRPr="00376A90">
        <w:rPr>
          <w:rFonts w:ascii="Times" w:hAnsi="Times"/>
          <w:i/>
        </w:rPr>
        <w:t>:</w:t>
      </w:r>
    </w:p>
    <w:p w14:paraId="5592615A" w14:textId="77777777" w:rsidR="004229A7" w:rsidRPr="00376A90" w:rsidRDefault="004229A7" w:rsidP="004229A7">
      <w:pPr>
        <w:spacing w:after="120"/>
        <w:jc w:val="both"/>
        <w:rPr>
          <w:rFonts w:ascii="Times" w:hAnsi="Times"/>
        </w:rPr>
      </w:pPr>
      <w:r w:rsidRPr="00376A90">
        <w:rPr>
          <w:rFonts w:ascii="Times" w:hAnsi="Times"/>
        </w:rPr>
        <w:t xml:space="preserve">As the era of </w:t>
      </w:r>
      <w:r>
        <w:rPr>
          <w:rFonts w:ascii="Times" w:hAnsi="Times"/>
        </w:rPr>
        <w:t xml:space="preserve">rapid </w:t>
      </w:r>
      <w:r w:rsidRPr="00376A90">
        <w:rPr>
          <w:rFonts w:ascii="Times" w:hAnsi="Times"/>
        </w:rPr>
        <w:t xml:space="preserve">tuition increases was being rolled out, the province required universities to set aside 30% of all tuition increases to supplement the financial aid program, and Dean Daniels proclaimed his support for </w:t>
      </w:r>
      <w:r>
        <w:rPr>
          <w:rFonts w:ascii="Times" w:hAnsi="Times"/>
        </w:rPr>
        <w:t>such</w:t>
      </w:r>
      <w:r w:rsidRPr="00376A90">
        <w:rPr>
          <w:rFonts w:ascii="Times" w:hAnsi="Times"/>
        </w:rPr>
        <w:t xml:space="preserve"> reinvestment of tuition increases as a mark of the Faculty’s commitment to accessibility. When the freeze ended, the provincial requirement to return 30% of increased tuition revenue to financial aid was quietly dropped. We can’t be sure whether the Faculty of Law continued to adhere to Dean Daniels’ promise thereafter or not. However, this was exactly the period during which increases in the financial aid budget began to </w:t>
      </w:r>
      <w:r>
        <w:rPr>
          <w:rFonts w:ascii="Times" w:hAnsi="Times"/>
        </w:rPr>
        <w:t>slow</w:t>
      </w:r>
      <w:r w:rsidRPr="00376A90">
        <w:rPr>
          <w:rFonts w:ascii="Times" w:hAnsi="Times"/>
        </w:rPr>
        <w:t>. (From 2003-04 until 2014-15, the aggregate value of bursaries increased approximately 63%; over that period, tuition more than doubled.)</w:t>
      </w:r>
    </w:p>
    <w:p w14:paraId="6BADA451" w14:textId="77777777" w:rsidR="004229A7" w:rsidRPr="00376A90" w:rsidRDefault="004229A7" w:rsidP="004229A7">
      <w:pPr>
        <w:spacing w:before="240" w:after="120"/>
        <w:rPr>
          <w:rFonts w:ascii="Times" w:hAnsi="Times"/>
        </w:rPr>
      </w:pPr>
      <w:r w:rsidRPr="00376A90">
        <w:rPr>
          <w:rFonts w:ascii="Times" w:hAnsi="Times"/>
          <w:b/>
        </w:rPr>
        <w:t>Access and Career Choice</w:t>
      </w:r>
    </w:p>
    <w:p w14:paraId="7F85A378" w14:textId="77777777" w:rsidR="004229A7" w:rsidRPr="00376A90" w:rsidRDefault="004229A7" w:rsidP="004229A7">
      <w:pPr>
        <w:spacing w:after="120"/>
        <w:jc w:val="both"/>
        <w:rPr>
          <w:rFonts w:ascii="Times" w:hAnsi="Times"/>
        </w:rPr>
      </w:pPr>
      <w:r>
        <w:rPr>
          <w:rFonts w:ascii="Times" w:hAnsi="Times"/>
        </w:rPr>
        <w:t>Over the years, m</w:t>
      </w:r>
      <w:r w:rsidRPr="00376A90">
        <w:rPr>
          <w:rFonts w:ascii="Times" w:hAnsi="Times"/>
        </w:rPr>
        <w:t xml:space="preserve">any have voiced concern that high tuition was likely to keep lower income students from attending the University of Toronto. Many also expressed concerns that students would be driven into jobs in large firms whatever their interests or inclinations. </w:t>
      </w:r>
      <w:r>
        <w:rPr>
          <w:rFonts w:ascii="Times" w:hAnsi="Times"/>
        </w:rPr>
        <w:t>T</w:t>
      </w:r>
      <w:r w:rsidRPr="00376A90">
        <w:rPr>
          <w:rFonts w:ascii="Times" w:hAnsi="Times"/>
        </w:rPr>
        <w:t>he Canadian Bar Association</w:t>
      </w:r>
      <w:r>
        <w:rPr>
          <w:rFonts w:ascii="Times" w:hAnsi="Times"/>
        </w:rPr>
        <w:t>’s</w:t>
      </w:r>
      <w:r w:rsidRPr="00376A90">
        <w:rPr>
          <w:rFonts w:ascii="Times" w:hAnsi="Times"/>
        </w:rPr>
        <w:t xml:space="preserve"> National Standing Committee on Equality assembled the evidence and made submissions to Governing Council on both these matters in April 2003</w:t>
      </w:r>
      <w:r>
        <w:rPr>
          <w:rFonts w:ascii="Times" w:hAnsi="Times"/>
        </w:rPr>
        <w:t xml:space="preserve">, emphasizing the likely effects of high tuition levels on </w:t>
      </w:r>
      <w:proofErr w:type="spellStart"/>
      <w:r>
        <w:rPr>
          <w:rFonts w:ascii="Times" w:hAnsi="Times"/>
        </w:rPr>
        <w:t>racialized</w:t>
      </w:r>
      <w:proofErr w:type="spellEnd"/>
      <w:r>
        <w:rPr>
          <w:rFonts w:ascii="Times" w:hAnsi="Times"/>
        </w:rPr>
        <w:t xml:space="preserve"> communities, women, and other marginalized groups</w:t>
      </w:r>
      <w:r w:rsidRPr="00376A90">
        <w:rPr>
          <w:rFonts w:ascii="Times" w:hAnsi="Times"/>
        </w:rPr>
        <w:t xml:space="preserve">. The CBA Committee, student groups, and concerned faculty all urged the University to track the effects of tuition increases carefully. No rigorous and systematic collection of data along these lines has ever been undertaken. </w:t>
      </w:r>
      <w:r>
        <w:rPr>
          <w:rFonts w:ascii="Times" w:hAnsi="Times"/>
        </w:rPr>
        <w:t>Student groups continue to raise concerns that the law school does not reflect our society.</w:t>
      </w:r>
    </w:p>
    <w:p w14:paraId="44DD3019" w14:textId="77777777" w:rsidR="004229A7" w:rsidRPr="00376A90" w:rsidRDefault="004229A7" w:rsidP="004229A7">
      <w:pPr>
        <w:spacing w:after="120"/>
        <w:jc w:val="both"/>
        <w:rPr>
          <w:rFonts w:ascii="Times" w:hAnsi="Times"/>
        </w:rPr>
      </w:pPr>
      <w:r>
        <w:rPr>
          <w:rFonts w:ascii="Times" w:hAnsi="Times"/>
        </w:rPr>
        <w:t>The available e</w:t>
      </w:r>
      <w:r w:rsidRPr="00376A90">
        <w:rPr>
          <w:rFonts w:ascii="Times" w:hAnsi="Times"/>
        </w:rPr>
        <w:t>vidence suggest</w:t>
      </w:r>
      <w:r>
        <w:rPr>
          <w:rFonts w:ascii="Times" w:hAnsi="Times"/>
        </w:rPr>
        <w:t>s</w:t>
      </w:r>
      <w:r w:rsidRPr="00376A90">
        <w:rPr>
          <w:rFonts w:ascii="Times" w:hAnsi="Times"/>
        </w:rPr>
        <w:t xml:space="preserve"> these concerns </w:t>
      </w:r>
      <w:r>
        <w:rPr>
          <w:rFonts w:ascii="Times" w:hAnsi="Times"/>
        </w:rPr>
        <w:t>are</w:t>
      </w:r>
      <w:r w:rsidRPr="00376A90">
        <w:rPr>
          <w:rFonts w:ascii="Times" w:hAnsi="Times"/>
        </w:rPr>
        <w:t xml:space="preserve"> not idle. </w:t>
      </w:r>
      <w:r>
        <w:rPr>
          <w:rFonts w:ascii="Times" w:hAnsi="Times"/>
        </w:rPr>
        <w:t>For example, a</w:t>
      </w:r>
      <w:r w:rsidRPr="00376A90">
        <w:rPr>
          <w:rFonts w:ascii="Times" w:hAnsi="Times"/>
        </w:rPr>
        <w:t xml:space="preserve"> Statistics Canada report published in 2005 (Marc </w:t>
      </w:r>
      <w:proofErr w:type="spellStart"/>
      <w:r w:rsidRPr="00376A90">
        <w:rPr>
          <w:rFonts w:ascii="Times" w:hAnsi="Times"/>
        </w:rPr>
        <w:t>Frenette</w:t>
      </w:r>
      <w:proofErr w:type="spellEnd"/>
      <w:r w:rsidRPr="00376A90">
        <w:rPr>
          <w:rFonts w:ascii="Times" w:hAnsi="Times"/>
        </w:rPr>
        <w:t>, “The Impact of Tuition Fees on University Access: Evidence from a Large-scale Price Deregulation in Professional Programs</w:t>
      </w:r>
      <w:r>
        <w:rPr>
          <w:rFonts w:ascii="Times" w:hAnsi="Times"/>
        </w:rPr>
        <w:t>”</w:t>
      </w:r>
      <w:r w:rsidRPr="00376A90">
        <w:rPr>
          <w:rFonts w:ascii="Times" w:hAnsi="Times"/>
        </w:rPr>
        <w:t xml:space="preserve">) studied changes in enrollment patterns in Ontario as fees in professional programs rose </w:t>
      </w:r>
      <w:r>
        <w:rPr>
          <w:rFonts w:ascii="Times" w:hAnsi="Times"/>
        </w:rPr>
        <w:t xml:space="preserve">much more </w:t>
      </w:r>
      <w:r w:rsidRPr="00376A90">
        <w:rPr>
          <w:rFonts w:ascii="Times" w:hAnsi="Times"/>
        </w:rPr>
        <w:t xml:space="preserve">sharply </w:t>
      </w:r>
      <w:r>
        <w:rPr>
          <w:rFonts w:ascii="Times" w:hAnsi="Times"/>
        </w:rPr>
        <w:t>here than</w:t>
      </w:r>
      <w:r w:rsidRPr="00376A90">
        <w:rPr>
          <w:rFonts w:ascii="Times" w:hAnsi="Times"/>
        </w:rPr>
        <w:t xml:space="preserve"> in other provinces. </w:t>
      </w:r>
      <w:r>
        <w:rPr>
          <w:rFonts w:ascii="Times" w:hAnsi="Times"/>
        </w:rPr>
        <w:t>It concluded:</w:t>
      </w:r>
    </w:p>
    <w:p w14:paraId="748B1282" w14:textId="77777777" w:rsidR="004229A7" w:rsidRDefault="004229A7" w:rsidP="004229A7">
      <w:pPr>
        <w:widowControl w:val="0"/>
        <w:autoSpaceDE w:val="0"/>
        <w:autoSpaceDN w:val="0"/>
        <w:adjustRightInd w:val="0"/>
        <w:spacing w:after="120"/>
        <w:ind w:left="720" w:right="720"/>
        <w:jc w:val="both"/>
        <w:rPr>
          <w:rFonts w:ascii="Times" w:hAnsi="Times" w:cs="Times New Roman"/>
        </w:rPr>
      </w:pPr>
      <w:r w:rsidRPr="00376A90">
        <w:rPr>
          <w:rFonts w:ascii="Times" w:hAnsi="Times" w:cs="Times New Roman"/>
        </w:rPr>
        <w:t xml:space="preserve">…over the period of rapidly increasing tuition fees in professional programs, enrollment patterns by socioeconomic background changed substantially in Ontario, where tuition fees increased the most. Specifically, enrolment rose among Ontario students whose parents held a graduate or professional degree. … In provinces such as Quebec and British Columbia, where tuition fees were frozen over the period, no changes in enrollment patterns by socioeconomic background were registered. </w:t>
      </w:r>
    </w:p>
    <w:p w14:paraId="165206DB" w14:textId="77777777" w:rsidR="004229A7" w:rsidRDefault="004229A7" w:rsidP="004229A7">
      <w:pPr>
        <w:widowControl w:val="0"/>
        <w:autoSpaceDE w:val="0"/>
        <w:autoSpaceDN w:val="0"/>
        <w:adjustRightInd w:val="0"/>
        <w:spacing w:after="120"/>
        <w:ind w:left="720" w:right="720"/>
        <w:jc w:val="both"/>
        <w:rPr>
          <w:rFonts w:ascii="Times" w:hAnsi="Times" w:cs="Times New Roman"/>
        </w:rPr>
      </w:pPr>
      <w:r w:rsidRPr="00376A90">
        <w:rPr>
          <w:rFonts w:ascii="Times" w:hAnsi="Times" w:cs="Times New Roman"/>
        </w:rPr>
        <w:t>(</w:t>
      </w:r>
      <w:proofErr w:type="spellStart"/>
      <w:r w:rsidRPr="00376A90">
        <w:rPr>
          <w:rFonts w:ascii="Times" w:hAnsi="Times" w:cs="Times New Roman"/>
        </w:rPr>
        <w:t>Frenette</w:t>
      </w:r>
      <w:proofErr w:type="spellEnd"/>
      <w:r w:rsidRPr="00376A90">
        <w:rPr>
          <w:rFonts w:ascii="Times" w:hAnsi="Times" w:cs="Times New Roman"/>
        </w:rPr>
        <w:t>, p.8)</w:t>
      </w:r>
    </w:p>
    <w:p w14:paraId="63DDBC53" w14:textId="77777777" w:rsidR="004229A7" w:rsidRPr="00376A90" w:rsidRDefault="004229A7" w:rsidP="004229A7">
      <w:pPr>
        <w:widowControl w:val="0"/>
        <w:autoSpaceDE w:val="0"/>
        <w:autoSpaceDN w:val="0"/>
        <w:adjustRightInd w:val="0"/>
        <w:spacing w:after="120"/>
        <w:rPr>
          <w:rFonts w:ascii="Times" w:hAnsi="Times" w:cs="Times New Roman"/>
        </w:rPr>
      </w:pPr>
    </w:p>
    <w:p w14:paraId="5BAE6562" w14:textId="77777777" w:rsidR="00B103BE" w:rsidRPr="0057295B" w:rsidRDefault="00B103BE" w:rsidP="0057295B">
      <w:pPr>
        <w:spacing w:after="120"/>
        <w:rPr>
          <w:rFonts w:ascii="Times" w:hAnsi="Times" w:cs="Arial"/>
          <w:color w:val="000000"/>
          <w:lang w:val="en-CA"/>
        </w:rPr>
      </w:pPr>
    </w:p>
    <w:sectPr w:rsidR="00B103BE" w:rsidRPr="0057295B" w:rsidSect="009303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GPEKYU+TimesNewRoman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98"/>
    <w:multiLevelType w:val="multilevel"/>
    <w:tmpl w:val="0AF0D2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96D7F63"/>
    <w:multiLevelType w:val="multilevel"/>
    <w:tmpl w:val="B56EE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E405B"/>
    <w:multiLevelType w:val="multilevel"/>
    <w:tmpl w:val="3F145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76C52"/>
    <w:multiLevelType w:val="multilevel"/>
    <w:tmpl w:val="BF327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BD2B24"/>
    <w:multiLevelType w:val="hybridMultilevel"/>
    <w:tmpl w:val="8DEC2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88"/>
    <w:rsid w:val="00000E83"/>
    <w:rsid w:val="000405D7"/>
    <w:rsid w:val="000A1FA6"/>
    <w:rsid w:val="000B1136"/>
    <w:rsid w:val="000F0525"/>
    <w:rsid w:val="00187ADF"/>
    <w:rsid w:val="001A2923"/>
    <w:rsid w:val="001B1E37"/>
    <w:rsid w:val="001E1175"/>
    <w:rsid w:val="00224634"/>
    <w:rsid w:val="0027034B"/>
    <w:rsid w:val="002E220C"/>
    <w:rsid w:val="00355FA9"/>
    <w:rsid w:val="00360B4E"/>
    <w:rsid w:val="00366D8D"/>
    <w:rsid w:val="003914E9"/>
    <w:rsid w:val="003C2E1C"/>
    <w:rsid w:val="004134D1"/>
    <w:rsid w:val="004229A7"/>
    <w:rsid w:val="00430D51"/>
    <w:rsid w:val="00451E36"/>
    <w:rsid w:val="00477526"/>
    <w:rsid w:val="004B350A"/>
    <w:rsid w:val="004C3AF2"/>
    <w:rsid w:val="005315CF"/>
    <w:rsid w:val="00557926"/>
    <w:rsid w:val="0056304B"/>
    <w:rsid w:val="00566607"/>
    <w:rsid w:val="0057295B"/>
    <w:rsid w:val="00587788"/>
    <w:rsid w:val="005B1269"/>
    <w:rsid w:val="005C1655"/>
    <w:rsid w:val="005C5A57"/>
    <w:rsid w:val="006046F0"/>
    <w:rsid w:val="00673DA5"/>
    <w:rsid w:val="00696C2F"/>
    <w:rsid w:val="007221DB"/>
    <w:rsid w:val="007614D8"/>
    <w:rsid w:val="00783629"/>
    <w:rsid w:val="00783D5D"/>
    <w:rsid w:val="007C34AE"/>
    <w:rsid w:val="00822810"/>
    <w:rsid w:val="008522B0"/>
    <w:rsid w:val="008C0DF6"/>
    <w:rsid w:val="009171FA"/>
    <w:rsid w:val="00924A45"/>
    <w:rsid w:val="0093039C"/>
    <w:rsid w:val="00937519"/>
    <w:rsid w:val="00940FE1"/>
    <w:rsid w:val="00946A34"/>
    <w:rsid w:val="00961449"/>
    <w:rsid w:val="009848F8"/>
    <w:rsid w:val="009A0E84"/>
    <w:rsid w:val="00A01CCF"/>
    <w:rsid w:val="00A023A3"/>
    <w:rsid w:val="00A9440E"/>
    <w:rsid w:val="00B103BE"/>
    <w:rsid w:val="00B65260"/>
    <w:rsid w:val="00B852D8"/>
    <w:rsid w:val="00BB5BAA"/>
    <w:rsid w:val="00BC1C63"/>
    <w:rsid w:val="00BD5E67"/>
    <w:rsid w:val="00BF24AB"/>
    <w:rsid w:val="00C66C63"/>
    <w:rsid w:val="00C87EEB"/>
    <w:rsid w:val="00CB3F98"/>
    <w:rsid w:val="00CD4967"/>
    <w:rsid w:val="00CE1B7D"/>
    <w:rsid w:val="00CF6C2B"/>
    <w:rsid w:val="00D029CB"/>
    <w:rsid w:val="00D3640D"/>
    <w:rsid w:val="00D73D60"/>
    <w:rsid w:val="00DD2783"/>
    <w:rsid w:val="00DE659A"/>
    <w:rsid w:val="00DF618D"/>
    <w:rsid w:val="00E508FC"/>
    <w:rsid w:val="00E603D5"/>
    <w:rsid w:val="00E8407F"/>
    <w:rsid w:val="00E93C94"/>
    <w:rsid w:val="00ED36CB"/>
    <w:rsid w:val="00F5085C"/>
    <w:rsid w:val="00F55E8D"/>
    <w:rsid w:val="00FE43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A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athenellipsis">
    <w:name w:val="reg para then ellipsis"/>
    <w:basedOn w:val="Normal"/>
    <w:rsid w:val="007221DB"/>
    <w:pPr>
      <w:jc w:val="both"/>
    </w:pPr>
    <w:rPr>
      <w:rFonts w:ascii="Times New Roman" w:eastAsia="Calibri" w:hAnsi="Times New Roman" w:cs="Times New Roman"/>
      <w:color w:val="000000"/>
      <w:sz w:val="22"/>
    </w:rPr>
  </w:style>
  <w:style w:type="paragraph" w:customStyle="1" w:styleId="regularparacondensed">
    <w:name w:val="regular para condensed"/>
    <w:basedOn w:val="Normal"/>
    <w:qFormat/>
    <w:rsid w:val="007221DB"/>
    <w:pPr>
      <w:spacing w:after="120"/>
      <w:jc w:val="both"/>
    </w:pPr>
    <w:rPr>
      <w:rFonts w:ascii="CG Times" w:eastAsia="Calibri" w:hAnsi="CG Times" w:cs="Times New Roman"/>
      <w:color w:val="000000"/>
      <w:spacing w:val="-2"/>
      <w:sz w:val="22"/>
      <w:szCs w:val="22"/>
    </w:rPr>
  </w:style>
  <w:style w:type="paragraph" w:customStyle="1" w:styleId="regularpara">
    <w:name w:val="regular para"/>
    <w:basedOn w:val="Normal"/>
    <w:rsid w:val="007221DB"/>
    <w:pPr>
      <w:spacing w:after="120"/>
      <w:jc w:val="both"/>
    </w:pPr>
    <w:rPr>
      <w:rFonts w:ascii="Times New Roman" w:eastAsia="Calibri" w:hAnsi="Times New Roman" w:cs="Times New Roman"/>
      <w:color w:val="000000"/>
      <w:sz w:val="22"/>
      <w:szCs w:val="22"/>
    </w:rPr>
  </w:style>
  <w:style w:type="paragraph" w:customStyle="1" w:styleId="firstparagraphthenellipsis">
    <w:name w:val="first paragraph then ellipsis"/>
    <w:basedOn w:val="Normal"/>
    <w:rsid w:val="007221DB"/>
    <w:pPr>
      <w:jc w:val="both"/>
    </w:pPr>
    <w:rPr>
      <w:rFonts w:ascii="Times New Roman" w:eastAsia="Times New Roman" w:hAnsi="Times New Roman" w:cs="Times New Roman"/>
      <w:sz w:val="22"/>
      <w:szCs w:val="28"/>
    </w:rPr>
  </w:style>
  <w:style w:type="paragraph" w:customStyle="1" w:styleId="Quote1">
    <w:name w:val="Quote1"/>
    <w:basedOn w:val="Normal"/>
    <w:qFormat/>
    <w:rsid w:val="00783D5D"/>
    <w:pPr>
      <w:autoSpaceDE w:val="0"/>
      <w:autoSpaceDN w:val="0"/>
      <w:adjustRightInd w:val="0"/>
      <w:spacing w:before="120"/>
      <w:ind w:left="567"/>
      <w:jc w:val="both"/>
    </w:pPr>
    <w:rPr>
      <w:rFonts w:ascii="Times New Roman" w:hAnsi="Times New Roman" w:cs="Times New Roman"/>
      <w:sz w:val="22"/>
      <w:szCs w:val="22"/>
    </w:rPr>
  </w:style>
  <w:style w:type="paragraph" w:customStyle="1" w:styleId="Note">
    <w:name w:val="Note"/>
    <w:basedOn w:val="regularpara"/>
    <w:qFormat/>
    <w:rsid w:val="0027034B"/>
    <w:rPr>
      <w:rFonts w:ascii="Avenir Book" w:hAnsi="Avenir Book"/>
      <w:bCs/>
      <w:color w:val="auto"/>
      <w:sz w:val="20"/>
    </w:rPr>
  </w:style>
  <w:style w:type="paragraph" w:customStyle="1" w:styleId="Noteatbeginning">
    <w:name w:val="Note at beginning"/>
    <w:basedOn w:val="Normal"/>
    <w:rsid w:val="0027034B"/>
    <w:pPr>
      <w:spacing w:before="240" w:after="240"/>
      <w:contextualSpacing/>
      <w:jc w:val="both"/>
    </w:pPr>
    <w:rPr>
      <w:rFonts w:ascii="Avenir Book" w:eastAsia="Calibri" w:hAnsi="Avenir Book" w:cs="Times New Roman"/>
      <w:color w:val="000000"/>
      <w:sz w:val="20"/>
      <w:szCs w:val="22"/>
    </w:rPr>
  </w:style>
  <w:style w:type="paragraph" w:customStyle="1" w:styleId="heading">
    <w:name w:val="heading"/>
    <w:basedOn w:val="regularpara"/>
    <w:qFormat/>
    <w:rsid w:val="0027034B"/>
    <w:pPr>
      <w:jc w:val="left"/>
    </w:pPr>
    <w:rPr>
      <w:rFonts w:ascii="Times" w:hAnsi="Times"/>
      <w:b/>
      <w:bCs/>
      <w:szCs w:val="20"/>
    </w:rPr>
  </w:style>
  <w:style w:type="paragraph" w:customStyle="1" w:styleId="FN">
    <w:name w:val="FN"/>
    <w:basedOn w:val="Normal"/>
    <w:qFormat/>
    <w:rsid w:val="00C66C63"/>
    <w:pPr>
      <w:widowControl w:val="0"/>
      <w:autoSpaceDE w:val="0"/>
      <w:autoSpaceDN w:val="0"/>
      <w:adjustRightInd w:val="0"/>
      <w:spacing w:after="120"/>
      <w:ind w:left="284" w:right="284"/>
      <w:jc w:val="both"/>
    </w:pPr>
    <w:rPr>
      <w:rFonts w:ascii="Times New Roman" w:hAnsi="Times New Roman" w:cs="Times New Roman"/>
      <w:color w:val="000000"/>
      <w:sz w:val="20"/>
      <w:szCs w:val="22"/>
      <w:lang w:val="en-CA" w:eastAsia="en-CA"/>
    </w:rPr>
  </w:style>
  <w:style w:type="paragraph" w:customStyle="1" w:styleId="quotation">
    <w:name w:val="quotation"/>
    <w:basedOn w:val="Normal"/>
    <w:qFormat/>
    <w:rsid w:val="00C66C63"/>
    <w:pPr>
      <w:widowControl w:val="0"/>
      <w:autoSpaceDE w:val="0"/>
      <w:autoSpaceDN w:val="0"/>
      <w:adjustRightInd w:val="0"/>
      <w:spacing w:after="120"/>
      <w:ind w:left="567" w:right="567"/>
      <w:jc w:val="both"/>
    </w:pPr>
    <w:rPr>
      <w:rFonts w:ascii="Times New Roman" w:hAnsi="Times New Roman" w:cs="Times New Roman"/>
      <w:color w:val="000000"/>
      <w:sz w:val="20"/>
      <w:szCs w:val="22"/>
      <w:lang w:val="en-CA" w:eastAsia="en-CA"/>
    </w:rPr>
  </w:style>
  <w:style w:type="paragraph" w:customStyle="1" w:styleId="StyleofCause">
    <w:name w:val="Style of Cause"/>
    <w:next w:val="Normal"/>
    <w:link w:val="StyleofCauseCharChar"/>
    <w:qFormat/>
    <w:rsid w:val="00A01CCF"/>
    <w:pPr>
      <w:spacing w:after="240"/>
      <w:jc w:val="center"/>
    </w:pPr>
    <w:rPr>
      <w:rFonts w:ascii="Times New Roman" w:hAnsi="Times New Roman" w:cs="GPEKYU+TimesNewRomanPSMT"/>
      <w:b/>
      <w:bCs/>
      <w:color w:val="000000"/>
      <w:szCs w:val="22"/>
    </w:rPr>
  </w:style>
  <w:style w:type="character" w:customStyle="1" w:styleId="StyleofCauseCharChar">
    <w:name w:val="Style of Cause Char Char"/>
    <w:basedOn w:val="DefaultParagraphFont"/>
    <w:link w:val="StyleofCause"/>
    <w:rsid w:val="00A01CCF"/>
    <w:rPr>
      <w:rFonts w:ascii="Times New Roman" w:hAnsi="Times New Roman" w:cs="GPEKYU+TimesNewRomanPSMT"/>
      <w:b/>
      <w:bCs/>
      <w:color w:val="000000"/>
      <w:szCs w:val="22"/>
    </w:rPr>
  </w:style>
  <w:style w:type="paragraph" w:styleId="NormalWeb">
    <w:name w:val="Normal (Web)"/>
    <w:basedOn w:val="Normal"/>
    <w:uiPriority w:val="99"/>
    <w:semiHidden/>
    <w:unhideWhenUsed/>
    <w:rsid w:val="00587788"/>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ED36CB"/>
    <w:pPr>
      <w:ind w:left="720"/>
      <w:contextualSpacing/>
    </w:pPr>
  </w:style>
  <w:style w:type="paragraph" w:styleId="BalloonText">
    <w:name w:val="Balloon Text"/>
    <w:basedOn w:val="Normal"/>
    <w:link w:val="BalloonTextChar"/>
    <w:uiPriority w:val="99"/>
    <w:semiHidden/>
    <w:unhideWhenUsed/>
    <w:rsid w:val="005C5A57"/>
    <w:rPr>
      <w:rFonts w:ascii="Tahoma" w:hAnsi="Tahoma" w:cs="Tahoma"/>
      <w:sz w:val="16"/>
      <w:szCs w:val="16"/>
    </w:rPr>
  </w:style>
  <w:style w:type="character" w:customStyle="1" w:styleId="BalloonTextChar">
    <w:name w:val="Balloon Text Char"/>
    <w:basedOn w:val="DefaultParagraphFont"/>
    <w:link w:val="BalloonText"/>
    <w:uiPriority w:val="99"/>
    <w:semiHidden/>
    <w:rsid w:val="005C5A57"/>
    <w:rPr>
      <w:rFonts w:ascii="Tahoma" w:hAnsi="Tahoma" w:cs="Tahoma"/>
      <w:sz w:val="16"/>
      <w:szCs w:val="16"/>
    </w:rPr>
  </w:style>
  <w:style w:type="character" w:styleId="CommentReference">
    <w:name w:val="annotation reference"/>
    <w:basedOn w:val="DefaultParagraphFont"/>
    <w:uiPriority w:val="99"/>
    <w:semiHidden/>
    <w:unhideWhenUsed/>
    <w:rsid w:val="00B103BE"/>
    <w:rPr>
      <w:sz w:val="16"/>
      <w:szCs w:val="16"/>
    </w:rPr>
  </w:style>
  <w:style w:type="paragraph" w:styleId="CommentText">
    <w:name w:val="annotation text"/>
    <w:basedOn w:val="Normal"/>
    <w:link w:val="CommentTextChar"/>
    <w:uiPriority w:val="99"/>
    <w:semiHidden/>
    <w:unhideWhenUsed/>
    <w:rsid w:val="00B103BE"/>
    <w:rPr>
      <w:sz w:val="20"/>
      <w:szCs w:val="20"/>
    </w:rPr>
  </w:style>
  <w:style w:type="character" w:customStyle="1" w:styleId="CommentTextChar">
    <w:name w:val="Comment Text Char"/>
    <w:basedOn w:val="DefaultParagraphFont"/>
    <w:link w:val="CommentText"/>
    <w:uiPriority w:val="99"/>
    <w:semiHidden/>
    <w:rsid w:val="00B103BE"/>
    <w:rPr>
      <w:sz w:val="20"/>
      <w:szCs w:val="20"/>
    </w:rPr>
  </w:style>
  <w:style w:type="paragraph" w:styleId="CommentSubject">
    <w:name w:val="annotation subject"/>
    <w:basedOn w:val="CommentText"/>
    <w:next w:val="CommentText"/>
    <w:link w:val="CommentSubjectChar"/>
    <w:uiPriority w:val="99"/>
    <w:semiHidden/>
    <w:unhideWhenUsed/>
    <w:rsid w:val="00B103BE"/>
    <w:rPr>
      <w:b/>
      <w:bCs/>
    </w:rPr>
  </w:style>
  <w:style w:type="character" w:customStyle="1" w:styleId="CommentSubjectChar">
    <w:name w:val="Comment Subject Char"/>
    <w:basedOn w:val="CommentTextChar"/>
    <w:link w:val="CommentSubject"/>
    <w:uiPriority w:val="99"/>
    <w:semiHidden/>
    <w:rsid w:val="00B103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athenellipsis">
    <w:name w:val="reg para then ellipsis"/>
    <w:basedOn w:val="Normal"/>
    <w:rsid w:val="007221DB"/>
    <w:pPr>
      <w:jc w:val="both"/>
    </w:pPr>
    <w:rPr>
      <w:rFonts w:ascii="Times New Roman" w:eastAsia="Calibri" w:hAnsi="Times New Roman" w:cs="Times New Roman"/>
      <w:color w:val="000000"/>
      <w:sz w:val="22"/>
    </w:rPr>
  </w:style>
  <w:style w:type="paragraph" w:customStyle="1" w:styleId="regularparacondensed">
    <w:name w:val="regular para condensed"/>
    <w:basedOn w:val="Normal"/>
    <w:qFormat/>
    <w:rsid w:val="007221DB"/>
    <w:pPr>
      <w:spacing w:after="120"/>
      <w:jc w:val="both"/>
    </w:pPr>
    <w:rPr>
      <w:rFonts w:ascii="CG Times" w:eastAsia="Calibri" w:hAnsi="CG Times" w:cs="Times New Roman"/>
      <w:color w:val="000000"/>
      <w:spacing w:val="-2"/>
      <w:sz w:val="22"/>
      <w:szCs w:val="22"/>
    </w:rPr>
  </w:style>
  <w:style w:type="paragraph" w:customStyle="1" w:styleId="regularpara">
    <w:name w:val="regular para"/>
    <w:basedOn w:val="Normal"/>
    <w:rsid w:val="007221DB"/>
    <w:pPr>
      <w:spacing w:after="120"/>
      <w:jc w:val="both"/>
    </w:pPr>
    <w:rPr>
      <w:rFonts w:ascii="Times New Roman" w:eastAsia="Calibri" w:hAnsi="Times New Roman" w:cs="Times New Roman"/>
      <w:color w:val="000000"/>
      <w:sz w:val="22"/>
      <w:szCs w:val="22"/>
    </w:rPr>
  </w:style>
  <w:style w:type="paragraph" w:customStyle="1" w:styleId="firstparagraphthenellipsis">
    <w:name w:val="first paragraph then ellipsis"/>
    <w:basedOn w:val="Normal"/>
    <w:rsid w:val="007221DB"/>
    <w:pPr>
      <w:jc w:val="both"/>
    </w:pPr>
    <w:rPr>
      <w:rFonts w:ascii="Times New Roman" w:eastAsia="Times New Roman" w:hAnsi="Times New Roman" w:cs="Times New Roman"/>
      <w:sz w:val="22"/>
      <w:szCs w:val="28"/>
    </w:rPr>
  </w:style>
  <w:style w:type="paragraph" w:customStyle="1" w:styleId="Quote1">
    <w:name w:val="Quote1"/>
    <w:basedOn w:val="Normal"/>
    <w:qFormat/>
    <w:rsid w:val="00783D5D"/>
    <w:pPr>
      <w:autoSpaceDE w:val="0"/>
      <w:autoSpaceDN w:val="0"/>
      <w:adjustRightInd w:val="0"/>
      <w:spacing w:before="120"/>
      <w:ind w:left="567"/>
      <w:jc w:val="both"/>
    </w:pPr>
    <w:rPr>
      <w:rFonts w:ascii="Times New Roman" w:hAnsi="Times New Roman" w:cs="Times New Roman"/>
      <w:sz w:val="22"/>
      <w:szCs w:val="22"/>
    </w:rPr>
  </w:style>
  <w:style w:type="paragraph" w:customStyle="1" w:styleId="Note">
    <w:name w:val="Note"/>
    <w:basedOn w:val="regularpara"/>
    <w:qFormat/>
    <w:rsid w:val="0027034B"/>
    <w:rPr>
      <w:rFonts w:ascii="Avenir Book" w:hAnsi="Avenir Book"/>
      <w:bCs/>
      <w:color w:val="auto"/>
      <w:sz w:val="20"/>
    </w:rPr>
  </w:style>
  <w:style w:type="paragraph" w:customStyle="1" w:styleId="Noteatbeginning">
    <w:name w:val="Note at beginning"/>
    <w:basedOn w:val="Normal"/>
    <w:rsid w:val="0027034B"/>
    <w:pPr>
      <w:spacing w:before="240" w:after="240"/>
      <w:contextualSpacing/>
      <w:jc w:val="both"/>
    </w:pPr>
    <w:rPr>
      <w:rFonts w:ascii="Avenir Book" w:eastAsia="Calibri" w:hAnsi="Avenir Book" w:cs="Times New Roman"/>
      <w:color w:val="000000"/>
      <w:sz w:val="20"/>
      <w:szCs w:val="22"/>
    </w:rPr>
  </w:style>
  <w:style w:type="paragraph" w:customStyle="1" w:styleId="heading">
    <w:name w:val="heading"/>
    <w:basedOn w:val="regularpara"/>
    <w:qFormat/>
    <w:rsid w:val="0027034B"/>
    <w:pPr>
      <w:jc w:val="left"/>
    </w:pPr>
    <w:rPr>
      <w:rFonts w:ascii="Times" w:hAnsi="Times"/>
      <w:b/>
      <w:bCs/>
      <w:szCs w:val="20"/>
    </w:rPr>
  </w:style>
  <w:style w:type="paragraph" w:customStyle="1" w:styleId="FN">
    <w:name w:val="FN"/>
    <w:basedOn w:val="Normal"/>
    <w:qFormat/>
    <w:rsid w:val="00C66C63"/>
    <w:pPr>
      <w:widowControl w:val="0"/>
      <w:autoSpaceDE w:val="0"/>
      <w:autoSpaceDN w:val="0"/>
      <w:adjustRightInd w:val="0"/>
      <w:spacing w:after="120"/>
      <w:ind w:left="284" w:right="284"/>
      <w:jc w:val="both"/>
    </w:pPr>
    <w:rPr>
      <w:rFonts w:ascii="Times New Roman" w:hAnsi="Times New Roman" w:cs="Times New Roman"/>
      <w:color w:val="000000"/>
      <w:sz w:val="20"/>
      <w:szCs w:val="22"/>
      <w:lang w:val="en-CA" w:eastAsia="en-CA"/>
    </w:rPr>
  </w:style>
  <w:style w:type="paragraph" w:customStyle="1" w:styleId="quotation">
    <w:name w:val="quotation"/>
    <w:basedOn w:val="Normal"/>
    <w:qFormat/>
    <w:rsid w:val="00C66C63"/>
    <w:pPr>
      <w:widowControl w:val="0"/>
      <w:autoSpaceDE w:val="0"/>
      <w:autoSpaceDN w:val="0"/>
      <w:adjustRightInd w:val="0"/>
      <w:spacing w:after="120"/>
      <w:ind w:left="567" w:right="567"/>
      <w:jc w:val="both"/>
    </w:pPr>
    <w:rPr>
      <w:rFonts w:ascii="Times New Roman" w:hAnsi="Times New Roman" w:cs="Times New Roman"/>
      <w:color w:val="000000"/>
      <w:sz w:val="20"/>
      <w:szCs w:val="22"/>
      <w:lang w:val="en-CA" w:eastAsia="en-CA"/>
    </w:rPr>
  </w:style>
  <w:style w:type="paragraph" w:customStyle="1" w:styleId="StyleofCause">
    <w:name w:val="Style of Cause"/>
    <w:next w:val="Normal"/>
    <w:link w:val="StyleofCauseCharChar"/>
    <w:qFormat/>
    <w:rsid w:val="00A01CCF"/>
    <w:pPr>
      <w:spacing w:after="240"/>
      <w:jc w:val="center"/>
    </w:pPr>
    <w:rPr>
      <w:rFonts w:ascii="Times New Roman" w:hAnsi="Times New Roman" w:cs="GPEKYU+TimesNewRomanPSMT"/>
      <w:b/>
      <w:bCs/>
      <w:color w:val="000000"/>
      <w:szCs w:val="22"/>
    </w:rPr>
  </w:style>
  <w:style w:type="character" w:customStyle="1" w:styleId="StyleofCauseCharChar">
    <w:name w:val="Style of Cause Char Char"/>
    <w:basedOn w:val="DefaultParagraphFont"/>
    <w:link w:val="StyleofCause"/>
    <w:rsid w:val="00A01CCF"/>
    <w:rPr>
      <w:rFonts w:ascii="Times New Roman" w:hAnsi="Times New Roman" w:cs="GPEKYU+TimesNewRomanPSMT"/>
      <w:b/>
      <w:bCs/>
      <w:color w:val="000000"/>
      <w:szCs w:val="22"/>
    </w:rPr>
  </w:style>
  <w:style w:type="paragraph" w:styleId="NormalWeb">
    <w:name w:val="Normal (Web)"/>
    <w:basedOn w:val="Normal"/>
    <w:uiPriority w:val="99"/>
    <w:semiHidden/>
    <w:unhideWhenUsed/>
    <w:rsid w:val="00587788"/>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ED36CB"/>
    <w:pPr>
      <w:ind w:left="720"/>
      <w:contextualSpacing/>
    </w:pPr>
  </w:style>
  <w:style w:type="paragraph" w:styleId="BalloonText">
    <w:name w:val="Balloon Text"/>
    <w:basedOn w:val="Normal"/>
    <w:link w:val="BalloonTextChar"/>
    <w:uiPriority w:val="99"/>
    <w:semiHidden/>
    <w:unhideWhenUsed/>
    <w:rsid w:val="005C5A57"/>
    <w:rPr>
      <w:rFonts w:ascii="Tahoma" w:hAnsi="Tahoma" w:cs="Tahoma"/>
      <w:sz w:val="16"/>
      <w:szCs w:val="16"/>
    </w:rPr>
  </w:style>
  <w:style w:type="character" w:customStyle="1" w:styleId="BalloonTextChar">
    <w:name w:val="Balloon Text Char"/>
    <w:basedOn w:val="DefaultParagraphFont"/>
    <w:link w:val="BalloonText"/>
    <w:uiPriority w:val="99"/>
    <w:semiHidden/>
    <w:rsid w:val="005C5A57"/>
    <w:rPr>
      <w:rFonts w:ascii="Tahoma" w:hAnsi="Tahoma" w:cs="Tahoma"/>
      <w:sz w:val="16"/>
      <w:szCs w:val="16"/>
    </w:rPr>
  </w:style>
  <w:style w:type="character" w:styleId="CommentReference">
    <w:name w:val="annotation reference"/>
    <w:basedOn w:val="DefaultParagraphFont"/>
    <w:uiPriority w:val="99"/>
    <w:semiHidden/>
    <w:unhideWhenUsed/>
    <w:rsid w:val="00B103BE"/>
    <w:rPr>
      <w:sz w:val="16"/>
      <w:szCs w:val="16"/>
    </w:rPr>
  </w:style>
  <w:style w:type="paragraph" w:styleId="CommentText">
    <w:name w:val="annotation text"/>
    <w:basedOn w:val="Normal"/>
    <w:link w:val="CommentTextChar"/>
    <w:uiPriority w:val="99"/>
    <w:semiHidden/>
    <w:unhideWhenUsed/>
    <w:rsid w:val="00B103BE"/>
    <w:rPr>
      <w:sz w:val="20"/>
      <w:szCs w:val="20"/>
    </w:rPr>
  </w:style>
  <w:style w:type="character" w:customStyle="1" w:styleId="CommentTextChar">
    <w:name w:val="Comment Text Char"/>
    <w:basedOn w:val="DefaultParagraphFont"/>
    <w:link w:val="CommentText"/>
    <w:uiPriority w:val="99"/>
    <w:semiHidden/>
    <w:rsid w:val="00B103BE"/>
    <w:rPr>
      <w:sz w:val="20"/>
      <w:szCs w:val="20"/>
    </w:rPr>
  </w:style>
  <w:style w:type="paragraph" w:styleId="CommentSubject">
    <w:name w:val="annotation subject"/>
    <w:basedOn w:val="CommentText"/>
    <w:next w:val="CommentText"/>
    <w:link w:val="CommentSubjectChar"/>
    <w:uiPriority w:val="99"/>
    <w:semiHidden/>
    <w:unhideWhenUsed/>
    <w:rsid w:val="00B103BE"/>
    <w:rPr>
      <w:b/>
      <w:bCs/>
    </w:rPr>
  </w:style>
  <w:style w:type="character" w:customStyle="1" w:styleId="CommentSubjectChar">
    <w:name w:val="Comment Subject Char"/>
    <w:basedOn w:val="CommentTextChar"/>
    <w:link w:val="CommentSubject"/>
    <w:uiPriority w:val="99"/>
    <w:semiHidden/>
    <w:rsid w:val="00B10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2440">
      <w:bodyDiv w:val="1"/>
      <w:marLeft w:val="0"/>
      <w:marRight w:val="0"/>
      <w:marTop w:val="0"/>
      <w:marBottom w:val="0"/>
      <w:divBdr>
        <w:top w:val="none" w:sz="0" w:space="0" w:color="auto"/>
        <w:left w:val="none" w:sz="0" w:space="0" w:color="auto"/>
        <w:bottom w:val="none" w:sz="0" w:space="0" w:color="auto"/>
        <w:right w:val="none" w:sz="0" w:space="0" w:color="auto"/>
      </w:divBdr>
    </w:div>
    <w:div w:id="1709182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Reaume:Dropbox:Tuition%20and%20Financial%20Aid:Faculty%20Council%20-%20Financial%20Aid%20Committee%20Reports:Financial%20Package%20His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Tuition</a:t>
            </a:r>
            <a:r>
              <a:rPr lang="en-CA" baseline="0"/>
              <a:t> v Financial Aid</a:t>
            </a:r>
            <a:endParaRPr lang="en-CA"/>
          </a:p>
        </c:rich>
      </c:tx>
      <c:overlay val="0"/>
      <c:spPr>
        <a:noFill/>
        <a:ln>
          <a:noFill/>
        </a:ln>
        <a:effectLst/>
      </c:spPr>
    </c:title>
    <c:autoTitleDeleted val="0"/>
    <c:plotArea>
      <c:layout/>
      <c:areaChart>
        <c:grouping val="standard"/>
        <c:varyColors val="0"/>
        <c:ser>
          <c:idx val="0"/>
          <c:order val="0"/>
          <c:tx>
            <c:strRef>
              <c:f>[1]Sheet1!$B$15</c:f>
              <c:strCache>
                <c:ptCount val="1"/>
                <c:pt idx="0">
                  <c:v>Tuition</c:v>
                </c:pt>
              </c:strCache>
            </c:strRef>
          </c:tx>
          <c:spPr>
            <a:solidFill>
              <a:schemeClr val="accent1"/>
            </a:solidFill>
            <a:ln>
              <a:noFill/>
            </a:ln>
            <a:effectLst/>
          </c:spPr>
          <c:cat>
            <c:strRef>
              <c:f>[1]Sheet1!$A$16:$A$25</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[1]Sheet1!$B$16:$B$25</c:f>
              <c:numCache>
                <c:formatCode>#,##0</c:formatCode>
                <c:ptCount val="10"/>
                <c:pt idx="0">
                  <c:v>16000</c:v>
                </c:pt>
                <c:pt idx="1">
                  <c:v>17280</c:v>
                </c:pt>
                <c:pt idx="2">
                  <c:v>18662</c:v>
                </c:pt>
                <c:pt idx="3">
                  <c:v>20155</c:v>
                </c:pt>
                <c:pt idx="4">
                  <c:v>21767</c:v>
                </c:pt>
                <c:pt idx="5">
                  <c:v>23508</c:v>
                </c:pt>
                <c:pt idx="6">
                  <c:v>25389</c:v>
                </c:pt>
                <c:pt idx="7">
                  <c:v>27420</c:v>
                </c:pt>
                <c:pt idx="8">
                  <c:v>28791</c:v>
                </c:pt>
                <c:pt idx="9">
                  <c:v>30230</c:v>
                </c:pt>
              </c:numCache>
            </c:numRef>
          </c:val>
          <c:extLst xmlns:c16r2="http://schemas.microsoft.com/office/drawing/2015/06/chart">
            <c:ext xmlns:c16="http://schemas.microsoft.com/office/drawing/2014/chart" uri="{C3380CC4-5D6E-409C-BE32-E72D297353CC}">
              <c16:uniqueId val="{00000000-F933-4AE1-A18B-530B3C5AA105}"/>
            </c:ext>
          </c:extLst>
        </c:ser>
        <c:ser>
          <c:idx val="1"/>
          <c:order val="1"/>
          <c:tx>
            <c:strRef>
              <c:f>[1]Sheet1!$C$15</c:f>
              <c:strCache>
                <c:ptCount val="1"/>
                <c:pt idx="0">
                  <c:v>Average Bursary</c:v>
                </c:pt>
              </c:strCache>
            </c:strRef>
          </c:tx>
          <c:spPr>
            <a:solidFill>
              <a:schemeClr val="accent2">
                <a:lumMod val="40000"/>
                <a:lumOff val="60000"/>
              </a:schemeClr>
            </a:solidFill>
            <a:ln>
              <a:noFill/>
            </a:ln>
            <a:effectLst/>
          </c:spPr>
          <c:cat>
            <c:strRef>
              <c:f>[1]Sheet1!$A$16:$A$25</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[1]Sheet1!$C$16:$C$25</c:f>
              <c:numCache>
                <c:formatCode>#,##0</c:formatCode>
                <c:ptCount val="10"/>
                <c:pt idx="0">
                  <c:v>7848</c:v>
                </c:pt>
                <c:pt idx="1">
                  <c:v>7587</c:v>
                </c:pt>
                <c:pt idx="2">
                  <c:v>8904</c:v>
                </c:pt>
                <c:pt idx="3">
                  <c:v>10723</c:v>
                </c:pt>
                <c:pt idx="4">
                  <c:v>9036</c:v>
                </c:pt>
                <c:pt idx="5">
                  <c:v>9733</c:v>
                </c:pt>
                <c:pt idx="6">
                  <c:v>10138</c:v>
                </c:pt>
                <c:pt idx="7">
                  <c:v>9899</c:v>
                </c:pt>
                <c:pt idx="8">
                  <c:v>9287</c:v>
                </c:pt>
                <c:pt idx="9">
                  <c:v>9209</c:v>
                </c:pt>
              </c:numCache>
            </c:numRef>
          </c:val>
          <c:extLst xmlns:c16r2="http://schemas.microsoft.com/office/drawing/2015/06/chart">
            <c:ext xmlns:c16="http://schemas.microsoft.com/office/drawing/2014/chart" uri="{C3380CC4-5D6E-409C-BE32-E72D297353CC}">
              <c16:uniqueId val="{00000001-F933-4AE1-A18B-530B3C5AA105}"/>
            </c:ext>
          </c:extLst>
        </c:ser>
        <c:dLbls>
          <c:showLegendKey val="0"/>
          <c:showVal val="0"/>
          <c:showCatName val="0"/>
          <c:showSerName val="0"/>
          <c:showPercent val="0"/>
          <c:showBubbleSize val="0"/>
        </c:dLbls>
        <c:axId val="76423552"/>
        <c:axId val="76425088"/>
      </c:areaChart>
      <c:catAx>
        <c:axId val="76423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25088"/>
        <c:crosses val="autoZero"/>
        <c:auto val="1"/>
        <c:lblAlgn val="ctr"/>
        <c:lblOffset val="100"/>
        <c:noMultiLvlLbl val="0"/>
      </c:catAx>
      <c:valAx>
        <c:axId val="76425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235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2</cp:revision>
  <cp:lastPrinted>2016-04-20T11:58:00Z</cp:lastPrinted>
  <dcterms:created xsi:type="dcterms:W3CDTF">2017-02-13T16:02:00Z</dcterms:created>
  <dcterms:modified xsi:type="dcterms:W3CDTF">2017-02-13T16:02:00Z</dcterms:modified>
</cp:coreProperties>
</file>